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86CA3" w:rsidRPr="00AC6E06" w:rsidRDefault="00A3460A" w:rsidP="00307E31">
      <w:pPr>
        <w:jc w:val="center"/>
        <w:rPr>
          <w:rFonts w:ascii="Trebuchet MS" w:hAnsi="Trebuchet MS"/>
          <w:b/>
          <w:bCs/>
          <w:caps/>
          <w:sz w:val="48"/>
          <w:szCs w:val="20"/>
        </w:rPr>
      </w:pPr>
    </w:p>
    <w:p w:rsidR="00D86CA3" w:rsidRPr="00AC6E06" w:rsidRDefault="00A3460A" w:rsidP="00307E31">
      <w:pPr>
        <w:jc w:val="center"/>
        <w:rPr>
          <w:rFonts w:ascii="Trebuchet MS" w:hAnsi="Trebuchet MS"/>
          <w:b/>
          <w:bCs/>
          <w:caps/>
          <w:sz w:val="48"/>
          <w:szCs w:val="20"/>
        </w:rPr>
      </w:pPr>
    </w:p>
    <w:p w:rsidR="00EA4AF6" w:rsidRPr="00AC6E06" w:rsidRDefault="00A3460A" w:rsidP="00EA4AF6">
      <w:pPr>
        <w:jc w:val="center"/>
        <w:rPr>
          <w:rFonts w:ascii="Trebuchet MS" w:hAnsi="Trebuchet MS"/>
          <w:b/>
          <w:bCs/>
          <w:smallCaps/>
          <w:sz w:val="36"/>
          <w:szCs w:val="36"/>
        </w:rPr>
      </w:pPr>
      <w:r w:rsidRPr="00AC6E06">
        <w:rPr>
          <w:rFonts w:ascii="Trebuchet MS" w:hAnsi="Trebuchet MS"/>
          <w:b/>
          <w:bCs/>
          <w:smallCaps/>
          <w:sz w:val="36"/>
          <w:szCs w:val="36"/>
        </w:rPr>
        <w:t xml:space="preserve">Małopolska Karta Aglomeracyjna — </w:t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br/>
        <w:t xml:space="preserve">System zarządzania transportem zbiorowym </w:t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br/>
        <w:t>w Województwie Małopolskim</w:t>
      </w:r>
    </w:p>
    <w:p w:rsidR="00EA4AF6" w:rsidRPr="00AC6E06" w:rsidRDefault="00A3460A" w:rsidP="00EA4AF6">
      <w:pPr>
        <w:jc w:val="center"/>
        <w:rPr>
          <w:rFonts w:ascii="Trebuchet MS" w:hAnsi="Trebuchet MS"/>
          <w:b/>
          <w:bCs/>
          <w:smallCaps/>
          <w:sz w:val="36"/>
          <w:szCs w:val="36"/>
        </w:rPr>
      </w:pPr>
    </w:p>
    <w:p w:rsidR="00D86CA3" w:rsidRPr="00AC6E06" w:rsidRDefault="00A3460A" w:rsidP="00EA4AF6">
      <w:pPr>
        <w:jc w:val="center"/>
        <w:rPr>
          <w:rFonts w:ascii="Trebuchet MS" w:hAnsi="Trebuchet MS"/>
          <w:b/>
          <w:bCs/>
          <w:smallCaps/>
          <w:sz w:val="36"/>
          <w:szCs w:val="36"/>
        </w:rPr>
      </w:pPr>
      <w:r w:rsidRPr="00AC6E06">
        <w:rPr>
          <w:rFonts w:ascii="Trebuchet MS" w:hAnsi="Trebuchet MS"/>
          <w:b/>
          <w:bCs/>
          <w:smallCaps/>
          <w:sz w:val="36"/>
          <w:szCs w:val="36"/>
        </w:rPr>
        <w:t xml:space="preserve">część I — Budowa systemu </w:t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br/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t xml:space="preserve">zarządzania transportem zbiorowym </w:t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br/>
        <w:t>na terenie Województwa Małopolskiego</w:t>
      </w:r>
    </w:p>
    <w:p w:rsidR="00D86CA3" w:rsidRPr="00AC6E06" w:rsidRDefault="00A3460A" w:rsidP="00307E31">
      <w:pPr>
        <w:jc w:val="center"/>
        <w:rPr>
          <w:rFonts w:ascii="Trebuchet MS" w:hAnsi="Trebuchet MS"/>
          <w:b/>
          <w:bCs/>
          <w:caps/>
          <w:sz w:val="48"/>
          <w:szCs w:val="20"/>
        </w:rPr>
      </w:pPr>
    </w:p>
    <w:p w:rsidR="00D86CA3" w:rsidRPr="00AC6E06" w:rsidRDefault="00A3460A" w:rsidP="00307E31">
      <w:pPr>
        <w:jc w:val="center"/>
        <w:rPr>
          <w:rFonts w:ascii="Trebuchet MS" w:hAnsi="Trebuchet MS"/>
          <w:b/>
          <w:bCs/>
          <w:caps/>
          <w:sz w:val="48"/>
          <w:szCs w:val="20"/>
        </w:rPr>
      </w:pPr>
    </w:p>
    <w:p w:rsidR="00834A30" w:rsidRPr="00AC6E06" w:rsidRDefault="00A3460A" w:rsidP="00307E31">
      <w:pPr>
        <w:jc w:val="center"/>
        <w:rPr>
          <w:rFonts w:ascii="Trebuchet MS" w:hAnsi="Trebuchet MS"/>
          <w:b/>
          <w:bCs/>
          <w:caps/>
          <w:sz w:val="48"/>
          <w:szCs w:val="20"/>
        </w:rPr>
      </w:pPr>
    </w:p>
    <w:p w:rsidR="00C44F8A" w:rsidRPr="00AC6E06" w:rsidRDefault="00A3460A" w:rsidP="00C44F8A">
      <w:pPr>
        <w:jc w:val="center"/>
        <w:rPr>
          <w:sz w:val="40"/>
          <w:szCs w:val="40"/>
        </w:rPr>
      </w:pPr>
      <w:r w:rsidRPr="00AC6E06">
        <w:rPr>
          <w:rFonts w:ascii="Trebuchet MS" w:hAnsi="Trebuchet MS"/>
          <w:b/>
          <w:bCs/>
          <w:caps/>
          <w:sz w:val="40"/>
          <w:szCs w:val="40"/>
        </w:rPr>
        <w:t>Projekt serwerowni CPD 1</w:t>
      </w:r>
    </w:p>
    <w:p w:rsidR="00C44F8A" w:rsidRPr="00AC6E06" w:rsidRDefault="00A3460A" w:rsidP="00D86CA3"/>
    <w:p w:rsidR="00D86CA3" w:rsidRPr="00AC6E06" w:rsidRDefault="00A3460A" w:rsidP="00D86CA3">
      <w:pPr>
        <w:rPr>
          <w:rFonts w:ascii="Trebuchet MS" w:hAnsi="Trebuchet MS"/>
          <w:b/>
          <w:bCs/>
          <w:caps/>
          <w:sz w:val="32"/>
          <w:szCs w:val="20"/>
        </w:rPr>
      </w:pPr>
      <w:r w:rsidRPr="00AC6E06">
        <w:br w:type="page"/>
      </w:r>
    </w:p>
    <w:p w:rsidR="00AF518E" w:rsidRDefault="00A3460A" w:rsidP="006053DB"/>
    <w:tbl>
      <w:tblPr>
        <w:tblW w:w="96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bottom w:w="57" w:type="dxa"/>
        </w:tblCellMar>
        <w:tblLook w:val="01E0" w:firstRow="1" w:lastRow="1" w:firstColumn="1" w:lastColumn="1" w:noHBand="0" w:noVBand="0"/>
      </w:tblPr>
      <w:tblGrid>
        <w:gridCol w:w="959"/>
        <w:gridCol w:w="1276"/>
        <w:gridCol w:w="4353"/>
        <w:gridCol w:w="1884"/>
        <w:gridCol w:w="1176"/>
      </w:tblGrid>
      <w:tr w:rsidR="0087020C" w:rsidTr="005E4FDD">
        <w:trPr>
          <w:trHeight w:val="369"/>
        </w:trPr>
        <w:tc>
          <w:tcPr>
            <w:tcW w:w="9648" w:type="dxa"/>
            <w:gridSpan w:val="5"/>
            <w:shd w:val="clear" w:color="auto" w:fill="808080"/>
            <w:vAlign w:val="center"/>
          </w:tcPr>
          <w:p w:rsidR="00AF518E" w:rsidRPr="000C4EC9" w:rsidRDefault="00A3460A" w:rsidP="00F70404">
            <w:pPr>
              <w:rPr>
                <w:rStyle w:val="Podtytutabeli"/>
              </w:rPr>
            </w:pPr>
            <w:r w:rsidRPr="000C4EC9">
              <w:rPr>
                <w:rStyle w:val="Podtytutabeli"/>
              </w:rPr>
              <w:t>Historia zmian</w:t>
            </w:r>
          </w:p>
        </w:tc>
      </w:tr>
      <w:tr w:rsidR="0087020C" w:rsidTr="005E4FDD">
        <w:trPr>
          <w:trHeight w:val="369"/>
        </w:trPr>
        <w:tc>
          <w:tcPr>
            <w:tcW w:w="959" w:type="dxa"/>
            <w:shd w:val="clear" w:color="auto" w:fill="BFBFBF"/>
            <w:vAlign w:val="center"/>
          </w:tcPr>
          <w:p w:rsidR="00AF518E" w:rsidRPr="000C4EC9" w:rsidRDefault="00A3460A" w:rsidP="00F70404">
            <w:pPr>
              <w:pStyle w:val="Nagwektabelizmian"/>
            </w:pPr>
            <w:r w:rsidRPr="000C4EC9">
              <w:t>Wersja</w:t>
            </w:r>
          </w:p>
        </w:tc>
        <w:tc>
          <w:tcPr>
            <w:tcW w:w="1276" w:type="dxa"/>
            <w:shd w:val="clear" w:color="auto" w:fill="BFBFBF"/>
            <w:vAlign w:val="center"/>
          </w:tcPr>
          <w:p w:rsidR="00AF518E" w:rsidRPr="000C4EC9" w:rsidRDefault="00A3460A" w:rsidP="00F70404">
            <w:pPr>
              <w:pStyle w:val="Nagwektabelizmian"/>
            </w:pPr>
            <w:r w:rsidRPr="000C4EC9">
              <w:t>Data</w:t>
            </w:r>
          </w:p>
        </w:tc>
        <w:tc>
          <w:tcPr>
            <w:tcW w:w="4353" w:type="dxa"/>
            <w:shd w:val="clear" w:color="auto" w:fill="C0C0C0"/>
            <w:vAlign w:val="center"/>
          </w:tcPr>
          <w:p w:rsidR="00AF518E" w:rsidRPr="000C4EC9" w:rsidRDefault="00A3460A" w:rsidP="00F70404">
            <w:pPr>
              <w:pStyle w:val="Nagwektabelizmian"/>
            </w:pPr>
            <w:r w:rsidRPr="000C4EC9">
              <w:t>Opis</w:t>
            </w:r>
          </w:p>
        </w:tc>
        <w:tc>
          <w:tcPr>
            <w:tcW w:w="1884" w:type="dxa"/>
            <w:shd w:val="clear" w:color="auto" w:fill="BFBFBF"/>
            <w:vAlign w:val="center"/>
          </w:tcPr>
          <w:p w:rsidR="00AF518E" w:rsidRPr="000C4EC9" w:rsidRDefault="00A3460A" w:rsidP="00F70404">
            <w:pPr>
              <w:pStyle w:val="Nagwektabelizmian"/>
            </w:pPr>
            <w:r w:rsidRPr="000C4EC9">
              <w:t>Autor</w:t>
            </w:r>
          </w:p>
        </w:tc>
        <w:tc>
          <w:tcPr>
            <w:tcW w:w="1176" w:type="dxa"/>
            <w:shd w:val="clear" w:color="auto" w:fill="BFBFBF"/>
            <w:vAlign w:val="center"/>
          </w:tcPr>
          <w:p w:rsidR="00AF518E" w:rsidRPr="000C4EC9" w:rsidRDefault="00A3460A" w:rsidP="00F70404">
            <w:pPr>
              <w:pStyle w:val="Nagwektabelizmian"/>
            </w:pPr>
            <w:r w:rsidRPr="000C4EC9">
              <w:t>Uwagi</w:t>
            </w:r>
          </w:p>
        </w:tc>
      </w:tr>
      <w:tr w:rsidR="0087020C" w:rsidTr="005E4FDD">
        <w:trPr>
          <w:trHeight w:val="369"/>
        </w:trPr>
        <w:tc>
          <w:tcPr>
            <w:tcW w:w="959" w:type="dxa"/>
            <w:vAlign w:val="center"/>
          </w:tcPr>
          <w:p w:rsidR="00AF518E" w:rsidRPr="00C902A1" w:rsidRDefault="00A3460A" w:rsidP="00F70404">
            <w:pPr>
              <w:rPr>
                <w:rStyle w:val="Tekstdlanagwkatabeli"/>
              </w:rPr>
            </w:pPr>
            <w:r>
              <w:rPr>
                <w:rStyle w:val="Tekstdlanagwkatabeli"/>
              </w:rPr>
              <w:t>0.1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F518E" w:rsidRPr="00C902A1" w:rsidRDefault="00A3460A" w:rsidP="00B94B6C">
            <w:pPr>
              <w:rPr>
                <w:rStyle w:val="Tekstdlanagwkatabeli"/>
              </w:rPr>
            </w:pPr>
            <w:bookmarkStart w:id="0" w:name="_GoBack"/>
            <w:bookmarkEnd w:id="0"/>
          </w:p>
        </w:tc>
        <w:tc>
          <w:tcPr>
            <w:tcW w:w="4353" w:type="dxa"/>
            <w:shd w:val="clear" w:color="auto" w:fill="auto"/>
            <w:vAlign w:val="center"/>
          </w:tcPr>
          <w:p w:rsidR="00AF518E" w:rsidRPr="00C902A1" w:rsidRDefault="00A3460A" w:rsidP="00F70404">
            <w:pPr>
              <w:rPr>
                <w:rFonts w:ascii="Trebuchet MS" w:hAnsi="Trebuchet MS"/>
                <w:sz w:val="20"/>
                <w:szCs w:val="20"/>
              </w:rPr>
            </w:pPr>
          </w:p>
        </w:tc>
        <w:tc>
          <w:tcPr>
            <w:tcW w:w="1884" w:type="dxa"/>
            <w:shd w:val="clear" w:color="auto" w:fill="auto"/>
            <w:vAlign w:val="center"/>
          </w:tcPr>
          <w:p w:rsidR="00AF518E" w:rsidRPr="00C902A1" w:rsidRDefault="00A3460A" w:rsidP="00F70404">
            <w:pPr>
              <w:rPr>
                <w:rFonts w:ascii="Trebuchet MS" w:hAnsi="Trebuchet MS"/>
                <w:sz w:val="20"/>
                <w:szCs w:val="20"/>
              </w:rPr>
            </w:pPr>
          </w:p>
        </w:tc>
        <w:tc>
          <w:tcPr>
            <w:tcW w:w="1176" w:type="dxa"/>
            <w:vAlign w:val="center"/>
          </w:tcPr>
          <w:p w:rsidR="00AF518E" w:rsidRPr="000C4EC9" w:rsidRDefault="00A3460A" w:rsidP="00F70404">
            <w:pPr>
              <w:rPr>
                <w:rFonts w:ascii="Trebuchet MS" w:hAnsi="Trebuchet MS"/>
                <w:sz w:val="20"/>
                <w:szCs w:val="20"/>
              </w:rPr>
            </w:pPr>
          </w:p>
        </w:tc>
      </w:tr>
      <w:tr w:rsidR="0087020C" w:rsidTr="005E4FDD">
        <w:trPr>
          <w:trHeight w:val="369"/>
        </w:trPr>
        <w:tc>
          <w:tcPr>
            <w:tcW w:w="959" w:type="dxa"/>
            <w:vAlign w:val="center"/>
          </w:tcPr>
          <w:p w:rsidR="00AF518E" w:rsidRPr="00C902A1" w:rsidRDefault="00A3460A" w:rsidP="00F70404">
            <w:pPr>
              <w:rPr>
                <w:rStyle w:val="Tekstdlanagwkatabeli"/>
              </w:rPr>
            </w:pPr>
            <w:r>
              <w:rPr>
                <w:rStyle w:val="Tekstdlanagwkatabeli"/>
              </w:rPr>
              <w:t>0.2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F518E" w:rsidRPr="00C902A1" w:rsidRDefault="00A3460A" w:rsidP="00F70404">
            <w:pPr>
              <w:rPr>
                <w:rStyle w:val="Tekstdlanagwkatabeli"/>
              </w:rPr>
            </w:pPr>
          </w:p>
        </w:tc>
        <w:tc>
          <w:tcPr>
            <w:tcW w:w="4353" w:type="dxa"/>
            <w:shd w:val="clear" w:color="auto" w:fill="auto"/>
            <w:vAlign w:val="center"/>
          </w:tcPr>
          <w:p w:rsidR="00AF518E" w:rsidRPr="00C902A1" w:rsidRDefault="00A3460A" w:rsidP="00F70404">
            <w:pPr>
              <w:rPr>
                <w:rFonts w:ascii="Trebuchet MS" w:hAnsi="Trebuchet MS"/>
                <w:sz w:val="20"/>
                <w:szCs w:val="20"/>
              </w:rPr>
            </w:pPr>
          </w:p>
        </w:tc>
        <w:tc>
          <w:tcPr>
            <w:tcW w:w="1884" w:type="dxa"/>
            <w:shd w:val="clear" w:color="auto" w:fill="auto"/>
            <w:vAlign w:val="center"/>
          </w:tcPr>
          <w:p w:rsidR="00AF518E" w:rsidRPr="00C902A1" w:rsidRDefault="00A3460A" w:rsidP="00F70404">
            <w:pPr>
              <w:rPr>
                <w:rFonts w:ascii="Trebuchet MS" w:hAnsi="Trebuchet MS"/>
                <w:sz w:val="20"/>
                <w:szCs w:val="20"/>
              </w:rPr>
            </w:pPr>
          </w:p>
        </w:tc>
        <w:tc>
          <w:tcPr>
            <w:tcW w:w="1176" w:type="dxa"/>
            <w:vAlign w:val="center"/>
          </w:tcPr>
          <w:p w:rsidR="00AF518E" w:rsidRPr="000C4EC9" w:rsidRDefault="00A3460A" w:rsidP="00F70404">
            <w:pPr>
              <w:rPr>
                <w:rFonts w:ascii="Trebuchet MS" w:hAnsi="Trebuchet MS"/>
                <w:sz w:val="20"/>
                <w:szCs w:val="20"/>
              </w:rPr>
            </w:pPr>
          </w:p>
        </w:tc>
      </w:tr>
      <w:tr w:rsidR="0087020C" w:rsidTr="005E4FDD">
        <w:trPr>
          <w:trHeight w:val="369"/>
        </w:trPr>
        <w:tc>
          <w:tcPr>
            <w:tcW w:w="959" w:type="dxa"/>
            <w:vAlign w:val="center"/>
          </w:tcPr>
          <w:p w:rsidR="00AF518E" w:rsidRDefault="00A3460A" w:rsidP="00F70404">
            <w:pPr>
              <w:rPr>
                <w:rStyle w:val="Tekstdlanagwkatabeli"/>
              </w:rPr>
            </w:pPr>
            <w:r>
              <w:rPr>
                <w:rStyle w:val="Tekstdlanagwkatabeli"/>
              </w:rPr>
              <w:t>0.3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F518E" w:rsidRDefault="00A3460A" w:rsidP="00F70404">
            <w:pPr>
              <w:rPr>
                <w:rStyle w:val="Tekstdlanagwkatabeli"/>
              </w:rPr>
            </w:pPr>
          </w:p>
        </w:tc>
        <w:tc>
          <w:tcPr>
            <w:tcW w:w="4353" w:type="dxa"/>
            <w:shd w:val="clear" w:color="auto" w:fill="auto"/>
            <w:vAlign w:val="center"/>
          </w:tcPr>
          <w:p w:rsidR="00AF518E" w:rsidRDefault="00A3460A" w:rsidP="00F70404">
            <w:pPr>
              <w:rPr>
                <w:rFonts w:ascii="Trebuchet MS" w:hAnsi="Trebuchet MS"/>
                <w:sz w:val="20"/>
                <w:szCs w:val="20"/>
              </w:rPr>
            </w:pPr>
          </w:p>
        </w:tc>
        <w:tc>
          <w:tcPr>
            <w:tcW w:w="1884" w:type="dxa"/>
            <w:shd w:val="clear" w:color="auto" w:fill="auto"/>
            <w:vAlign w:val="center"/>
          </w:tcPr>
          <w:p w:rsidR="00AF518E" w:rsidRDefault="00A3460A" w:rsidP="00F70404">
            <w:pPr>
              <w:rPr>
                <w:rFonts w:ascii="Trebuchet MS" w:hAnsi="Trebuchet MS"/>
                <w:sz w:val="20"/>
                <w:szCs w:val="20"/>
              </w:rPr>
            </w:pPr>
          </w:p>
        </w:tc>
        <w:tc>
          <w:tcPr>
            <w:tcW w:w="1176" w:type="dxa"/>
            <w:vAlign w:val="center"/>
          </w:tcPr>
          <w:p w:rsidR="00AF518E" w:rsidRPr="000C4EC9" w:rsidRDefault="00A3460A" w:rsidP="00F70404">
            <w:pPr>
              <w:rPr>
                <w:rFonts w:ascii="Trebuchet MS" w:hAnsi="Trebuchet MS"/>
                <w:sz w:val="20"/>
                <w:szCs w:val="20"/>
              </w:rPr>
            </w:pPr>
          </w:p>
        </w:tc>
      </w:tr>
      <w:tr w:rsidR="0087020C" w:rsidTr="005E4FDD">
        <w:trPr>
          <w:trHeight w:val="369"/>
        </w:trPr>
        <w:tc>
          <w:tcPr>
            <w:tcW w:w="959" w:type="dxa"/>
            <w:vAlign w:val="center"/>
          </w:tcPr>
          <w:p w:rsidR="00AF518E" w:rsidRDefault="00A3460A" w:rsidP="00F70404">
            <w:pPr>
              <w:rPr>
                <w:rStyle w:val="Tekstdlanagwkatabeli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AF518E" w:rsidRDefault="00A3460A" w:rsidP="00F70404">
            <w:pPr>
              <w:rPr>
                <w:rStyle w:val="Tekstdlanagwkatabeli"/>
              </w:rPr>
            </w:pPr>
          </w:p>
        </w:tc>
        <w:tc>
          <w:tcPr>
            <w:tcW w:w="4353" w:type="dxa"/>
            <w:shd w:val="clear" w:color="auto" w:fill="auto"/>
            <w:vAlign w:val="center"/>
          </w:tcPr>
          <w:p w:rsidR="00AF518E" w:rsidRDefault="00A3460A" w:rsidP="00F70404">
            <w:pPr>
              <w:rPr>
                <w:rFonts w:ascii="Trebuchet MS" w:hAnsi="Trebuchet MS"/>
                <w:sz w:val="20"/>
                <w:szCs w:val="20"/>
              </w:rPr>
            </w:pPr>
          </w:p>
        </w:tc>
        <w:tc>
          <w:tcPr>
            <w:tcW w:w="1884" w:type="dxa"/>
            <w:shd w:val="clear" w:color="auto" w:fill="auto"/>
            <w:vAlign w:val="center"/>
          </w:tcPr>
          <w:p w:rsidR="00AF518E" w:rsidRDefault="00A3460A" w:rsidP="00F70404">
            <w:pPr>
              <w:rPr>
                <w:rFonts w:ascii="Trebuchet MS" w:hAnsi="Trebuchet MS"/>
                <w:sz w:val="20"/>
                <w:szCs w:val="20"/>
              </w:rPr>
            </w:pPr>
          </w:p>
        </w:tc>
        <w:tc>
          <w:tcPr>
            <w:tcW w:w="1176" w:type="dxa"/>
            <w:vAlign w:val="center"/>
          </w:tcPr>
          <w:p w:rsidR="00AF518E" w:rsidRPr="000C4EC9" w:rsidRDefault="00A3460A" w:rsidP="00F70404">
            <w:pPr>
              <w:rPr>
                <w:rFonts w:ascii="Trebuchet MS" w:hAnsi="Trebuchet MS"/>
                <w:sz w:val="20"/>
                <w:szCs w:val="20"/>
              </w:rPr>
            </w:pPr>
          </w:p>
        </w:tc>
      </w:tr>
    </w:tbl>
    <w:p w:rsidR="00AF518E" w:rsidRDefault="00A3460A" w:rsidP="006053DB"/>
    <w:p w:rsidR="00AF518E" w:rsidRDefault="00A3460A" w:rsidP="006053DB"/>
    <w:p w:rsidR="00AF518E" w:rsidRDefault="00A3460A" w:rsidP="006053DB"/>
    <w:sdt>
      <w:sdtPr>
        <w:rPr>
          <w:rFonts w:ascii="Trebuchet MS" w:eastAsia="Times New Roman" w:hAnsi="Trebuchet MS" w:cs="Times New Roman"/>
          <w:b w:val="0"/>
          <w:bCs w:val="0"/>
          <w:color w:val="auto"/>
          <w:sz w:val="20"/>
          <w:szCs w:val="24"/>
        </w:rPr>
        <w:id w:val="953290557"/>
        <w:docPartObj>
          <w:docPartGallery w:val="Table of Contents"/>
          <w:docPartUnique/>
        </w:docPartObj>
      </w:sdtPr>
      <w:sdtEndPr>
        <w:rPr>
          <w:rFonts w:ascii="Arial" w:hAnsi="Arial"/>
          <w:sz w:val="24"/>
        </w:rPr>
      </w:sdtEndPr>
      <w:sdtContent>
        <w:p w:rsidR="005E4FDD" w:rsidRPr="000136B8" w:rsidRDefault="00A3460A" w:rsidP="00302E9B">
          <w:pPr>
            <w:pStyle w:val="Nagwekspisutreci"/>
            <w:pageBreakBefore/>
            <w:rPr>
              <w:color w:val="auto"/>
            </w:rPr>
          </w:pPr>
          <w:r w:rsidRPr="000136B8">
            <w:rPr>
              <w:color w:val="auto"/>
            </w:rPr>
            <w:t>Spis treści</w:t>
          </w:r>
        </w:p>
        <w:p w:rsidR="0087020C" w:rsidRDefault="00A3460A">
          <w:pPr>
            <w:pStyle w:val="Spistreci1"/>
            <w:rPr>
              <w:noProof/>
              <w:sz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56000000" w:history="1">
            <w:r>
              <w:rPr>
                <w:rStyle w:val="Hipercze"/>
              </w:rPr>
              <w:t>1.</w:t>
            </w:r>
            <w:r>
              <w:rPr>
                <w:rStyle w:val="Hipercze"/>
                <w:noProof/>
                <w:sz w:val="22"/>
              </w:rPr>
              <w:tab/>
            </w:r>
            <w:r>
              <w:rPr>
                <w:rStyle w:val="Hipercze"/>
              </w:rPr>
              <w:t>Wstęp</w:t>
            </w:r>
            <w:r>
              <w:rPr>
                <w:rStyle w:val="Hipercze"/>
              </w:rPr>
              <w:tab/>
            </w:r>
            <w:r>
              <w:fldChar w:fldCharType="begin"/>
            </w:r>
            <w:r>
              <w:rPr>
                <w:rStyle w:val="Hipercze"/>
              </w:rPr>
              <w:instrText xml:space="preserve"> PAGEREF _Toc256000000 \h </w:instrText>
            </w:r>
            <w:r>
              <w:fldChar w:fldCharType="separate"/>
            </w:r>
            <w:r w:rsidR="00B94B6C">
              <w:rPr>
                <w:rStyle w:val="Hipercze"/>
                <w:noProof/>
              </w:rPr>
              <w:t>5</w:t>
            </w:r>
            <w:r>
              <w:fldChar w:fldCharType="end"/>
            </w:r>
          </w:hyperlink>
        </w:p>
        <w:p w:rsidR="0087020C" w:rsidRDefault="00A3460A">
          <w:pPr>
            <w:pStyle w:val="Spistreci1"/>
            <w:rPr>
              <w:noProof/>
              <w:sz w:val="22"/>
            </w:rPr>
          </w:pPr>
          <w:hyperlink w:anchor="_Toc256000001" w:history="1">
            <w:r>
              <w:rPr>
                <w:rStyle w:val="Hipercze"/>
              </w:rPr>
              <w:t>2.</w:t>
            </w:r>
            <w:r>
              <w:rPr>
                <w:rStyle w:val="Hipercze"/>
                <w:noProof/>
                <w:sz w:val="22"/>
              </w:rPr>
              <w:tab/>
            </w:r>
            <w:r>
              <w:rPr>
                <w:rStyle w:val="Hipercze"/>
              </w:rPr>
              <w:t>Bezpieczeństwo przechowywania danych</w:t>
            </w:r>
            <w:r>
              <w:rPr>
                <w:rStyle w:val="Hipercze"/>
              </w:rPr>
              <w:tab/>
            </w:r>
            <w:r>
              <w:fldChar w:fldCharType="begin"/>
            </w:r>
            <w:r>
              <w:rPr>
                <w:rStyle w:val="Hipercze"/>
              </w:rPr>
              <w:instrText xml:space="preserve"> PAGEREF _Toc256000001 \h </w:instrText>
            </w:r>
            <w:r>
              <w:fldChar w:fldCharType="separate"/>
            </w:r>
            <w:r w:rsidR="00B94B6C">
              <w:rPr>
                <w:rStyle w:val="Hipercze"/>
                <w:noProof/>
              </w:rPr>
              <w:t>5</w:t>
            </w:r>
            <w:r>
              <w:fldChar w:fldCharType="end"/>
            </w:r>
          </w:hyperlink>
        </w:p>
        <w:p w:rsidR="0087020C" w:rsidRDefault="00A3460A">
          <w:pPr>
            <w:pStyle w:val="Spistreci2"/>
            <w:rPr>
              <w:sz w:val="22"/>
            </w:rPr>
          </w:pPr>
          <w:hyperlink w:anchor="_Toc256000002" w:history="1">
            <w:r>
              <w:rPr>
                <w:rStyle w:val="Hipercze"/>
              </w:rPr>
              <w:t>2.1.</w:t>
            </w:r>
            <w:r>
              <w:rPr>
                <w:rStyle w:val="Hipercze"/>
                <w:sz w:val="22"/>
              </w:rPr>
              <w:tab/>
            </w:r>
            <w:r>
              <w:rPr>
                <w:rStyle w:val="Hipercze"/>
              </w:rPr>
              <w:t>Certyfikaty</w:t>
            </w:r>
            <w:r>
              <w:rPr>
                <w:rStyle w:val="Hipercze"/>
              </w:rPr>
              <w:tab/>
            </w:r>
            <w:r>
              <w:fldChar w:fldCharType="begin"/>
            </w:r>
            <w:r>
              <w:rPr>
                <w:rStyle w:val="Hipercze"/>
              </w:rPr>
              <w:instrText xml:space="preserve"> PAGEREF _Toc256000002 \h </w:instrText>
            </w:r>
            <w:r>
              <w:fldChar w:fldCharType="separate"/>
            </w:r>
            <w:r w:rsidR="00B94B6C">
              <w:rPr>
                <w:rStyle w:val="Hipercze"/>
              </w:rPr>
              <w:t>5</w:t>
            </w:r>
            <w:r>
              <w:fldChar w:fldCharType="end"/>
            </w:r>
          </w:hyperlink>
        </w:p>
        <w:p w:rsidR="0087020C" w:rsidRDefault="00A3460A">
          <w:pPr>
            <w:pStyle w:val="Spistreci2"/>
            <w:rPr>
              <w:sz w:val="22"/>
            </w:rPr>
          </w:pPr>
          <w:hyperlink w:anchor="_Toc256000003" w:history="1">
            <w:r>
              <w:rPr>
                <w:rStyle w:val="Hipercze"/>
              </w:rPr>
              <w:t>2.2.</w:t>
            </w:r>
            <w:r>
              <w:rPr>
                <w:rStyle w:val="Hipercze"/>
                <w:sz w:val="22"/>
              </w:rPr>
              <w:tab/>
            </w:r>
            <w:r>
              <w:rPr>
                <w:rStyle w:val="Hipercze"/>
              </w:rPr>
              <w:t>Ograniczenie dostępu do informacji</w:t>
            </w:r>
            <w:r>
              <w:rPr>
                <w:rStyle w:val="Hipercze"/>
              </w:rPr>
              <w:tab/>
            </w:r>
            <w:r>
              <w:fldChar w:fldCharType="begin"/>
            </w:r>
            <w:r>
              <w:rPr>
                <w:rStyle w:val="Hipercze"/>
              </w:rPr>
              <w:instrText xml:space="preserve"> PAGEREF _Toc256000003 \h </w:instrText>
            </w:r>
            <w:r>
              <w:fldChar w:fldCharType="separate"/>
            </w:r>
            <w:r w:rsidR="00B94B6C">
              <w:rPr>
                <w:rStyle w:val="Hipercze"/>
              </w:rPr>
              <w:t>5</w:t>
            </w:r>
            <w:r>
              <w:fldChar w:fldCharType="end"/>
            </w:r>
          </w:hyperlink>
        </w:p>
        <w:p w:rsidR="0087020C" w:rsidRDefault="00A3460A">
          <w:pPr>
            <w:pStyle w:val="Spistreci2"/>
            <w:rPr>
              <w:sz w:val="22"/>
            </w:rPr>
          </w:pPr>
          <w:hyperlink w:anchor="_Toc256000004" w:history="1">
            <w:r>
              <w:rPr>
                <w:rStyle w:val="Hipercze"/>
              </w:rPr>
              <w:t>2.3.</w:t>
            </w:r>
            <w:r>
              <w:rPr>
                <w:rStyle w:val="Hipercze"/>
                <w:sz w:val="22"/>
              </w:rPr>
              <w:tab/>
            </w:r>
            <w:r>
              <w:rPr>
                <w:rStyle w:val="Hipercze"/>
              </w:rPr>
              <w:t>Izolowanie systemów wrażliwych</w:t>
            </w:r>
            <w:r>
              <w:rPr>
                <w:rStyle w:val="Hipercze"/>
              </w:rPr>
              <w:tab/>
            </w:r>
            <w:r>
              <w:fldChar w:fldCharType="begin"/>
            </w:r>
            <w:r>
              <w:rPr>
                <w:rStyle w:val="Hipercze"/>
              </w:rPr>
              <w:instrText xml:space="preserve"> PAGEREF _Toc256000004 \h </w:instrText>
            </w:r>
            <w:r>
              <w:fldChar w:fldCharType="separate"/>
            </w:r>
            <w:r w:rsidR="00B94B6C">
              <w:rPr>
                <w:rStyle w:val="Hipercze"/>
              </w:rPr>
              <w:t>6</w:t>
            </w:r>
            <w:r>
              <w:fldChar w:fldCharType="end"/>
            </w:r>
          </w:hyperlink>
        </w:p>
        <w:p w:rsidR="0087020C" w:rsidRDefault="00A3460A">
          <w:pPr>
            <w:pStyle w:val="Spistreci1"/>
            <w:rPr>
              <w:noProof/>
              <w:sz w:val="22"/>
            </w:rPr>
          </w:pPr>
          <w:hyperlink w:anchor="_Toc256000005" w:history="1">
            <w:r>
              <w:rPr>
                <w:rStyle w:val="Hipercze"/>
              </w:rPr>
              <w:t>3.</w:t>
            </w:r>
            <w:r>
              <w:rPr>
                <w:rStyle w:val="Hipercze"/>
                <w:noProof/>
                <w:sz w:val="22"/>
              </w:rPr>
              <w:tab/>
            </w:r>
            <w:r>
              <w:rPr>
                <w:rStyle w:val="Hipercze"/>
              </w:rPr>
              <w:t>Cechy obiektu</w:t>
            </w:r>
            <w:r>
              <w:rPr>
                <w:rStyle w:val="Hipercze"/>
              </w:rPr>
              <w:tab/>
            </w:r>
            <w:r>
              <w:fldChar w:fldCharType="begin"/>
            </w:r>
            <w:r>
              <w:rPr>
                <w:rStyle w:val="Hipercze"/>
              </w:rPr>
              <w:instrText xml:space="preserve"> PAGEREF _Toc256000005 \h </w:instrText>
            </w:r>
            <w:r>
              <w:fldChar w:fldCharType="separate"/>
            </w:r>
            <w:r w:rsidR="00B94B6C">
              <w:rPr>
                <w:rStyle w:val="Hipercze"/>
                <w:noProof/>
              </w:rPr>
              <w:t>12</w:t>
            </w:r>
            <w:r>
              <w:fldChar w:fldCharType="end"/>
            </w:r>
          </w:hyperlink>
        </w:p>
        <w:p w:rsidR="0087020C" w:rsidRDefault="00A3460A">
          <w:pPr>
            <w:pStyle w:val="Spistreci2"/>
            <w:rPr>
              <w:sz w:val="22"/>
            </w:rPr>
          </w:pPr>
          <w:hyperlink w:anchor="_Toc256000006" w:history="1">
            <w:r>
              <w:rPr>
                <w:rStyle w:val="Hipercze"/>
              </w:rPr>
              <w:t>3.1.</w:t>
            </w:r>
            <w:r>
              <w:rPr>
                <w:rStyle w:val="Hipercze"/>
                <w:sz w:val="22"/>
              </w:rPr>
              <w:tab/>
            </w:r>
            <w:r>
              <w:rPr>
                <w:rStyle w:val="Hipercze"/>
              </w:rPr>
              <w:t>Cechy ogólne</w:t>
            </w:r>
            <w:r>
              <w:rPr>
                <w:rStyle w:val="Hipercze"/>
              </w:rPr>
              <w:tab/>
            </w:r>
            <w:r>
              <w:fldChar w:fldCharType="begin"/>
            </w:r>
            <w:r>
              <w:rPr>
                <w:rStyle w:val="Hipercze"/>
              </w:rPr>
              <w:instrText xml:space="preserve"> PAGEREF _Toc256000006 \h </w:instrText>
            </w:r>
            <w:r>
              <w:fldChar w:fldCharType="separate"/>
            </w:r>
            <w:r w:rsidR="00B94B6C">
              <w:rPr>
                <w:rStyle w:val="Hipercze"/>
              </w:rPr>
              <w:t>12</w:t>
            </w:r>
            <w:r>
              <w:fldChar w:fldCharType="end"/>
            </w:r>
          </w:hyperlink>
        </w:p>
        <w:p w:rsidR="0087020C" w:rsidRDefault="00A3460A">
          <w:pPr>
            <w:pStyle w:val="Spistreci2"/>
            <w:rPr>
              <w:sz w:val="22"/>
            </w:rPr>
          </w:pPr>
          <w:hyperlink w:anchor="_Toc256000007" w:history="1">
            <w:r>
              <w:rPr>
                <w:rStyle w:val="Hipercze"/>
              </w:rPr>
              <w:t>3.2.</w:t>
            </w:r>
            <w:r>
              <w:rPr>
                <w:rStyle w:val="Hipercze"/>
                <w:sz w:val="22"/>
              </w:rPr>
              <w:tab/>
            </w:r>
            <w:r>
              <w:rPr>
                <w:rStyle w:val="Hipercze"/>
              </w:rPr>
              <w:t>Zasilanie</w:t>
            </w:r>
            <w:r>
              <w:rPr>
                <w:rStyle w:val="Hipercze"/>
              </w:rPr>
              <w:tab/>
            </w:r>
            <w:r>
              <w:fldChar w:fldCharType="begin"/>
            </w:r>
            <w:r>
              <w:rPr>
                <w:rStyle w:val="Hipercze"/>
              </w:rPr>
              <w:instrText xml:space="preserve"> PAGEREF _Toc256000007 \h </w:instrText>
            </w:r>
            <w:r>
              <w:fldChar w:fldCharType="separate"/>
            </w:r>
            <w:r w:rsidR="00B94B6C">
              <w:rPr>
                <w:rStyle w:val="Hipercze"/>
              </w:rPr>
              <w:t>12</w:t>
            </w:r>
            <w:r>
              <w:fldChar w:fldCharType="end"/>
            </w:r>
          </w:hyperlink>
        </w:p>
        <w:p w:rsidR="0087020C" w:rsidRDefault="00A3460A">
          <w:pPr>
            <w:pStyle w:val="Spistreci2"/>
            <w:rPr>
              <w:sz w:val="22"/>
            </w:rPr>
          </w:pPr>
          <w:hyperlink w:anchor="_Toc256000008" w:history="1">
            <w:r>
              <w:rPr>
                <w:rStyle w:val="Hipercze"/>
              </w:rPr>
              <w:t>3.3.</w:t>
            </w:r>
            <w:r>
              <w:rPr>
                <w:rStyle w:val="Hipercze"/>
                <w:sz w:val="22"/>
              </w:rPr>
              <w:tab/>
            </w:r>
            <w:r>
              <w:rPr>
                <w:rStyle w:val="Hipercze"/>
              </w:rPr>
              <w:t>Klimatyzacja</w:t>
            </w:r>
            <w:r>
              <w:rPr>
                <w:rStyle w:val="Hipercze"/>
              </w:rPr>
              <w:tab/>
            </w:r>
            <w:r>
              <w:fldChar w:fldCharType="begin"/>
            </w:r>
            <w:r>
              <w:rPr>
                <w:rStyle w:val="Hipercze"/>
              </w:rPr>
              <w:instrText xml:space="preserve"> PAGEREF _Toc256000008 \h </w:instrText>
            </w:r>
            <w:r>
              <w:fldChar w:fldCharType="separate"/>
            </w:r>
            <w:r w:rsidR="00B94B6C">
              <w:rPr>
                <w:rStyle w:val="Hipercze"/>
              </w:rPr>
              <w:t>13</w:t>
            </w:r>
            <w:r>
              <w:fldChar w:fldCharType="end"/>
            </w:r>
          </w:hyperlink>
        </w:p>
        <w:p w:rsidR="0087020C" w:rsidRDefault="00A3460A">
          <w:pPr>
            <w:pStyle w:val="Spistreci2"/>
            <w:rPr>
              <w:sz w:val="22"/>
            </w:rPr>
          </w:pPr>
          <w:hyperlink w:anchor="_Toc256000009" w:history="1">
            <w:r>
              <w:rPr>
                <w:rStyle w:val="Hipercze"/>
              </w:rPr>
              <w:t>3.4.</w:t>
            </w:r>
            <w:r>
              <w:rPr>
                <w:rStyle w:val="Hipercze"/>
                <w:sz w:val="22"/>
              </w:rPr>
              <w:tab/>
            </w:r>
            <w:r>
              <w:rPr>
                <w:rStyle w:val="Hipercze"/>
              </w:rPr>
              <w:t>Bezpieczeństwo</w:t>
            </w:r>
            <w:r>
              <w:rPr>
                <w:rStyle w:val="Hipercze"/>
              </w:rPr>
              <w:tab/>
            </w:r>
            <w:r>
              <w:fldChar w:fldCharType="begin"/>
            </w:r>
            <w:r>
              <w:rPr>
                <w:rStyle w:val="Hipercze"/>
              </w:rPr>
              <w:instrText xml:space="preserve"> PAGEREF _Toc256000009 \h </w:instrText>
            </w:r>
            <w:r>
              <w:fldChar w:fldCharType="separate"/>
            </w:r>
            <w:r w:rsidR="00B94B6C">
              <w:rPr>
                <w:rStyle w:val="Hipercze"/>
              </w:rPr>
              <w:t>16</w:t>
            </w:r>
            <w:r>
              <w:fldChar w:fldCharType="end"/>
            </w:r>
          </w:hyperlink>
        </w:p>
        <w:p w:rsidR="0087020C" w:rsidRDefault="00A3460A">
          <w:pPr>
            <w:pStyle w:val="Spistreci2"/>
            <w:rPr>
              <w:sz w:val="22"/>
            </w:rPr>
          </w:pPr>
          <w:hyperlink w:anchor="_Toc256000010" w:history="1">
            <w:r>
              <w:rPr>
                <w:rStyle w:val="Hipercze"/>
              </w:rPr>
              <w:t>3.5.</w:t>
            </w:r>
            <w:r>
              <w:rPr>
                <w:rStyle w:val="Hipercze"/>
                <w:sz w:val="22"/>
              </w:rPr>
              <w:tab/>
            </w:r>
            <w:r>
              <w:rPr>
                <w:rStyle w:val="Hipercze"/>
              </w:rPr>
              <w:t>Ochrona przeciwpożarowa</w:t>
            </w:r>
            <w:r>
              <w:rPr>
                <w:rStyle w:val="Hipercze"/>
              </w:rPr>
              <w:tab/>
            </w:r>
            <w:r>
              <w:fldChar w:fldCharType="begin"/>
            </w:r>
            <w:r>
              <w:rPr>
                <w:rStyle w:val="Hipercze"/>
              </w:rPr>
              <w:instrText xml:space="preserve"> PAGEREF _Toc256000010 \h </w:instrText>
            </w:r>
            <w:r>
              <w:fldChar w:fldCharType="separate"/>
            </w:r>
            <w:r w:rsidR="00B94B6C">
              <w:rPr>
                <w:rStyle w:val="Hipercze"/>
              </w:rPr>
              <w:t>17</w:t>
            </w:r>
            <w:r>
              <w:fldChar w:fldCharType="end"/>
            </w:r>
          </w:hyperlink>
        </w:p>
        <w:p w:rsidR="0087020C" w:rsidRDefault="00A3460A">
          <w:pPr>
            <w:pStyle w:val="Spistreci2"/>
            <w:rPr>
              <w:sz w:val="22"/>
            </w:rPr>
          </w:pPr>
          <w:hyperlink w:anchor="_Toc256000011" w:history="1">
            <w:r>
              <w:rPr>
                <w:rStyle w:val="Hipercze"/>
              </w:rPr>
              <w:t>3.6.</w:t>
            </w:r>
            <w:r>
              <w:rPr>
                <w:rStyle w:val="Hipercze"/>
                <w:sz w:val="22"/>
              </w:rPr>
              <w:tab/>
            </w:r>
            <w:r>
              <w:rPr>
                <w:rStyle w:val="Hipercze"/>
              </w:rPr>
              <w:t>Ochrona fizyczna</w:t>
            </w:r>
            <w:r>
              <w:rPr>
                <w:rStyle w:val="Hipercze"/>
              </w:rPr>
              <w:tab/>
            </w:r>
            <w:r>
              <w:fldChar w:fldCharType="begin"/>
            </w:r>
            <w:r>
              <w:rPr>
                <w:rStyle w:val="Hipercze"/>
              </w:rPr>
              <w:instrText xml:space="preserve"> PAGEREF _Toc256000011 \h </w:instrText>
            </w:r>
            <w:r>
              <w:fldChar w:fldCharType="separate"/>
            </w:r>
            <w:r w:rsidR="00B94B6C">
              <w:rPr>
                <w:rStyle w:val="Hipercze"/>
              </w:rPr>
              <w:t>19</w:t>
            </w:r>
            <w:r>
              <w:fldChar w:fldCharType="end"/>
            </w:r>
          </w:hyperlink>
        </w:p>
        <w:p w:rsidR="0087020C" w:rsidRDefault="00A3460A">
          <w:pPr>
            <w:pStyle w:val="Spistreci2"/>
            <w:rPr>
              <w:sz w:val="22"/>
            </w:rPr>
          </w:pPr>
          <w:hyperlink w:anchor="_Toc256000012" w:history="1">
            <w:r>
              <w:rPr>
                <w:rStyle w:val="Hipercze"/>
              </w:rPr>
              <w:t>3.7.</w:t>
            </w:r>
            <w:r>
              <w:rPr>
                <w:rStyle w:val="Hipercze"/>
                <w:sz w:val="22"/>
              </w:rPr>
              <w:tab/>
            </w:r>
            <w:r>
              <w:rPr>
                <w:rStyle w:val="Hipercze"/>
              </w:rPr>
              <w:t>Infrastruktura teleinformatyczna</w:t>
            </w:r>
            <w:r>
              <w:rPr>
                <w:rStyle w:val="Hipercze"/>
              </w:rPr>
              <w:tab/>
            </w:r>
            <w:r>
              <w:fldChar w:fldCharType="begin"/>
            </w:r>
            <w:r>
              <w:rPr>
                <w:rStyle w:val="Hipercze"/>
              </w:rPr>
              <w:instrText xml:space="preserve"> PAGEREF _Toc2560000</w:instrText>
            </w:r>
            <w:r>
              <w:rPr>
                <w:rStyle w:val="Hipercze"/>
              </w:rPr>
              <w:instrText xml:space="preserve">12 \h </w:instrText>
            </w:r>
            <w:r>
              <w:fldChar w:fldCharType="separate"/>
            </w:r>
            <w:r w:rsidR="00B94B6C">
              <w:rPr>
                <w:rStyle w:val="Hipercze"/>
              </w:rPr>
              <w:t>19</w:t>
            </w:r>
            <w:r>
              <w:fldChar w:fldCharType="end"/>
            </w:r>
          </w:hyperlink>
        </w:p>
        <w:p w:rsidR="0087020C" w:rsidRDefault="00A3460A">
          <w:pPr>
            <w:pStyle w:val="Spistreci2"/>
            <w:rPr>
              <w:sz w:val="22"/>
            </w:rPr>
          </w:pPr>
          <w:hyperlink w:anchor="_Toc256000013" w:history="1">
            <w:r>
              <w:rPr>
                <w:rStyle w:val="Hipercze"/>
              </w:rPr>
              <w:t>3.8.</w:t>
            </w:r>
            <w:r>
              <w:rPr>
                <w:rStyle w:val="Hipercze"/>
                <w:sz w:val="22"/>
              </w:rPr>
              <w:tab/>
            </w:r>
            <w:r>
              <w:rPr>
                <w:rStyle w:val="Hipercze"/>
              </w:rPr>
              <w:t>Monitoring</w:t>
            </w:r>
            <w:r>
              <w:rPr>
                <w:rStyle w:val="Hipercze"/>
              </w:rPr>
              <w:tab/>
            </w:r>
            <w:r>
              <w:fldChar w:fldCharType="begin"/>
            </w:r>
            <w:r>
              <w:rPr>
                <w:rStyle w:val="Hipercze"/>
              </w:rPr>
              <w:instrText xml:space="preserve"> PAGEREF _Toc256000013 \h </w:instrText>
            </w:r>
            <w:r>
              <w:fldChar w:fldCharType="separate"/>
            </w:r>
            <w:r w:rsidR="00B94B6C">
              <w:rPr>
                <w:rStyle w:val="Hipercze"/>
              </w:rPr>
              <w:t>20</w:t>
            </w:r>
            <w:r>
              <w:fldChar w:fldCharType="end"/>
            </w:r>
          </w:hyperlink>
        </w:p>
        <w:p w:rsidR="0087020C" w:rsidRDefault="00A3460A">
          <w:pPr>
            <w:pStyle w:val="Spistreci1"/>
            <w:rPr>
              <w:noProof/>
              <w:sz w:val="22"/>
            </w:rPr>
          </w:pPr>
          <w:hyperlink w:anchor="_Toc256000014" w:history="1">
            <w:r>
              <w:rPr>
                <w:rStyle w:val="Hipercze"/>
              </w:rPr>
              <w:t>4.</w:t>
            </w:r>
            <w:r>
              <w:rPr>
                <w:rStyle w:val="Hipercze"/>
                <w:noProof/>
                <w:sz w:val="22"/>
              </w:rPr>
              <w:tab/>
            </w:r>
            <w:r>
              <w:rPr>
                <w:rStyle w:val="Hipercze"/>
              </w:rPr>
              <w:t>Kolokacja</w:t>
            </w:r>
            <w:r>
              <w:rPr>
                <w:rStyle w:val="Hipercze"/>
              </w:rPr>
              <w:tab/>
            </w:r>
            <w:r>
              <w:fldChar w:fldCharType="begin"/>
            </w:r>
            <w:r>
              <w:rPr>
                <w:rStyle w:val="Hipercze"/>
              </w:rPr>
              <w:instrText xml:space="preserve"> PAGEREF _Toc256000014 \h </w:instrText>
            </w:r>
            <w:r>
              <w:fldChar w:fldCharType="separate"/>
            </w:r>
            <w:r w:rsidR="00B94B6C">
              <w:rPr>
                <w:rStyle w:val="Hipercze"/>
                <w:noProof/>
              </w:rPr>
              <w:t>21</w:t>
            </w:r>
            <w:r>
              <w:fldChar w:fldCharType="end"/>
            </w:r>
          </w:hyperlink>
        </w:p>
        <w:p w:rsidR="0087020C" w:rsidRDefault="00A3460A">
          <w:pPr>
            <w:pStyle w:val="Spistreci1"/>
            <w:rPr>
              <w:noProof/>
              <w:sz w:val="22"/>
            </w:rPr>
          </w:pPr>
          <w:hyperlink w:anchor="_Toc256000015" w:history="1">
            <w:r>
              <w:rPr>
                <w:rStyle w:val="Hipercze"/>
              </w:rPr>
              <w:t>5.</w:t>
            </w:r>
            <w:r>
              <w:rPr>
                <w:rStyle w:val="Hipercze"/>
                <w:noProof/>
                <w:sz w:val="22"/>
              </w:rPr>
              <w:tab/>
            </w:r>
            <w:r>
              <w:rPr>
                <w:rStyle w:val="Hipercze"/>
              </w:rPr>
              <w:t>Lokalizacja</w:t>
            </w:r>
            <w:r>
              <w:rPr>
                <w:rStyle w:val="Hipercze"/>
              </w:rPr>
              <w:tab/>
            </w:r>
            <w:r>
              <w:fldChar w:fldCharType="begin"/>
            </w:r>
            <w:r>
              <w:rPr>
                <w:rStyle w:val="Hipercze"/>
              </w:rPr>
              <w:instrText xml:space="preserve"> PAGEREF _Toc256000015 \h </w:instrText>
            </w:r>
            <w:r>
              <w:fldChar w:fldCharType="separate"/>
            </w:r>
            <w:r w:rsidR="00B94B6C">
              <w:rPr>
                <w:rStyle w:val="Hipercze"/>
                <w:noProof/>
              </w:rPr>
              <w:t>23</w:t>
            </w:r>
            <w:r>
              <w:fldChar w:fldCharType="end"/>
            </w:r>
          </w:hyperlink>
        </w:p>
        <w:p w:rsidR="0087020C" w:rsidRDefault="00A3460A">
          <w:pPr>
            <w:pStyle w:val="Spistreci2"/>
            <w:rPr>
              <w:sz w:val="22"/>
            </w:rPr>
          </w:pPr>
          <w:hyperlink w:anchor="_Toc256000016" w:history="1">
            <w:r>
              <w:rPr>
                <w:rStyle w:val="Hipercze"/>
              </w:rPr>
              <w:t>5.1.</w:t>
            </w:r>
            <w:r>
              <w:rPr>
                <w:rStyle w:val="Hipercze"/>
                <w:sz w:val="22"/>
              </w:rPr>
              <w:tab/>
            </w:r>
            <w:r>
              <w:rPr>
                <w:rStyle w:val="Hipercze"/>
              </w:rPr>
              <w:t>Opis</w:t>
            </w:r>
            <w:r>
              <w:rPr>
                <w:rStyle w:val="Hipercze"/>
              </w:rPr>
              <w:tab/>
            </w:r>
            <w:r>
              <w:fldChar w:fldCharType="begin"/>
            </w:r>
            <w:r>
              <w:rPr>
                <w:rStyle w:val="Hipercze"/>
              </w:rPr>
              <w:instrText xml:space="preserve"> PAGEREF _Toc256000016 \h </w:instrText>
            </w:r>
            <w:r>
              <w:fldChar w:fldCharType="separate"/>
            </w:r>
            <w:r w:rsidR="00B94B6C">
              <w:rPr>
                <w:rStyle w:val="Hipercze"/>
              </w:rPr>
              <w:t>24</w:t>
            </w:r>
            <w:r>
              <w:fldChar w:fldCharType="end"/>
            </w:r>
          </w:hyperlink>
        </w:p>
        <w:p w:rsidR="0087020C" w:rsidRDefault="00A3460A">
          <w:pPr>
            <w:pStyle w:val="Spistreci2"/>
            <w:rPr>
              <w:sz w:val="22"/>
            </w:rPr>
          </w:pPr>
          <w:hyperlink w:anchor="_Toc256000017" w:history="1">
            <w:r>
              <w:rPr>
                <w:rStyle w:val="Hipercze"/>
              </w:rPr>
              <w:t>5.2.</w:t>
            </w:r>
            <w:r>
              <w:rPr>
                <w:rStyle w:val="Hipercze"/>
                <w:sz w:val="22"/>
              </w:rPr>
              <w:tab/>
            </w:r>
            <w:r>
              <w:rPr>
                <w:rStyle w:val="Hipercze"/>
              </w:rPr>
              <w:t>Obiekt</w:t>
            </w:r>
            <w:r>
              <w:rPr>
                <w:rStyle w:val="Hipercze"/>
              </w:rPr>
              <w:tab/>
            </w:r>
            <w:r>
              <w:fldChar w:fldCharType="begin"/>
            </w:r>
            <w:r>
              <w:rPr>
                <w:rStyle w:val="Hipercze"/>
              </w:rPr>
              <w:instrText xml:space="preserve"> PAGEREF _Toc256000017 \h </w:instrText>
            </w:r>
            <w:r>
              <w:fldChar w:fldCharType="separate"/>
            </w:r>
            <w:r w:rsidR="00B94B6C">
              <w:rPr>
                <w:rStyle w:val="Hipercze"/>
              </w:rPr>
              <w:t>25</w:t>
            </w:r>
            <w:r>
              <w:fldChar w:fldCharType="end"/>
            </w:r>
          </w:hyperlink>
        </w:p>
        <w:p w:rsidR="0087020C" w:rsidRDefault="00A3460A">
          <w:pPr>
            <w:rPr>
              <w:b/>
              <w:bCs/>
            </w:rPr>
          </w:pPr>
          <w:r>
            <w:rPr>
              <w:b/>
              <w:bCs/>
            </w:rPr>
            <w:fldChar w:fldCharType="end"/>
          </w:r>
        </w:p>
      </w:sdtContent>
    </w:sdt>
    <w:p w:rsidR="00AF518E" w:rsidRDefault="00A3460A" w:rsidP="00AF518E">
      <w:bookmarkStart w:id="1" w:name="_Toc407788817"/>
      <w:bookmarkStart w:id="2" w:name="_Toc407789079"/>
      <w:bookmarkStart w:id="3" w:name="_Toc407789097"/>
      <w:bookmarkEnd w:id="1"/>
      <w:bookmarkEnd w:id="2"/>
      <w:bookmarkEnd w:id="3"/>
    </w:p>
    <w:p w:rsidR="00E17C80" w:rsidRDefault="00A3460A">
      <w:pPr>
        <w:spacing w:line="240" w:lineRule="auto"/>
      </w:pPr>
      <w:r>
        <w:br w:type="page"/>
      </w:r>
    </w:p>
    <w:p w:rsidR="00E17C80" w:rsidRDefault="00A3460A">
      <w:r>
        <w:rPr>
          <w:b/>
        </w:rPr>
        <w:lastRenderedPageBreak/>
        <w:t>Historia zmian</w:t>
      </w:r>
    </w:p>
    <w:tbl>
      <w:tblPr>
        <w:tblStyle w:val="ScrollTableNormal"/>
        <w:tblW w:w="5000" w:type="pct"/>
        <w:tblLook w:val="0020" w:firstRow="1" w:lastRow="0" w:firstColumn="0" w:lastColumn="0" w:noHBand="0" w:noVBand="0"/>
      </w:tblPr>
      <w:tblGrid>
        <w:gridCol w:w="1246"/>
        <w:gridCol w:w="1885"/>
        <w:gridCol w:w="1903"/>
        <w:gridCol w:w="2967"/>
        <w:gridCol w:w="1129"/>
      </w:tblGrid>
      <w:tr w:rsidR="0087020C" w:rsidTr="0087020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87020C" w:rsidRDefault="00A3460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Wersja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87020C" w:rsidRDefault="00A3460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Data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87020C" w:rsidRDefault="00A3460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Opis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87020C" w:rsidRDefault="00A3460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Autor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87020C" w:rsidRDefault="00A3460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Uwagi</w:t>
            </w:r>
          </w:p>
        </w:tc>
      </w:tr>
      <w:tr w:rsidR="0087020C" w:rsidTr="0087020C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87020C" w:rsidRDefault="00A3460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87020C" w:rsidRDefault="00A3460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2015-03-17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87020C" w:rsidRDefault="00A3460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Utworzenie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87020C" w:rsidRDefault="00A3460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AMG.net / Unicard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87020C" w:rsidRDefault="0087020C">
            <w:pPr>
              <w:rPr>
                <w:sz w:val="20"/>
                <w:szCs w:val="20"/>
              </w:rPr>
            </w:pPr>
          </w:p>
        </w:tc>
      </w:tr>
      <w:tr w:rsidR="0087020C" w:rsidTr="0087020C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87020C" w:rsidRDefault="00A3460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0.2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87020C" w:rsidRDefault="00A3460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2015-11-26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87020C" w:rsidRDefault="00A3460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Weryfikacja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87020C" w:rsidRDefault="00A3460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Unicard</w:t>
            </w: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87020C" w:rsidRDefault="0087020C">
            <w:pPr>
              <w:rPr>
                <w:sz w:val="20"/>
                <w:szCs w:val="20"/>
              </w:rPr>
            </w:pPr>
          </w:p>
        </w:tc>
      </w:tr>
      <w:tr w:rsidR="0087020C" w:rsidTr="0087020C"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87020C" w:rsidRDefault="0087020C">
            <w:pPr>
              <w:rPr>
                <w:sz w:val="20"/>
                <w:szCs w:val="20"/>
              </w:rPr>
            </w:pP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87020C" w:rsidRDefault="0087020C">
            <w:pPr>
              <w:rPr>
                <w:sz w:val="20"/>
                <w:szCs w:val="20"/>
              </w:rPr>
            </w:pP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87020C" w:rsidRDefault="0087020C">
            <w:pPr>
              <w:rPr>
                <w:sz w:val="20"/>
                <w:szCs w:val="20"/>
              </w:rPr>
            </w:pP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87020C" w:rsidRDefault="0087020C">
            <w:pPr>
              <w:rPr>
                <w:sz w:val="20"/>
                <w:szCs w:val="20"/>
              </w:rPr>
            </w:pPr>
          </w:p>
        </w:tc>
        <w:tc>
          <w:tcPr>
            <w:tcW w:w="0" w:type="auto"/>
            <w:tcMar>
              <w:top w:w="30" w:type="dxa"/>
              <w:left w:w="30" w:type="dxa"/>
              <w:bottom w:w="20" w:type="dxa"/>
              <w:right w:w="30" w:type="dxa"/>
            </w:tcMar>
          </w:tcPr>
          <w:p w:rsidR="0087020C" w:rsidRDefault="0087020C">
            <w:pPr>
              <w:rPr>
                <w:sz w:val="20"/>
                <w:szCs w:val="20"/>
              </w:rPr>
            </w:pPr>
          </w:p>
        </w:tc>
      </w:tr>
    </w:tbl>
    <w:p w:rsidR="0087020C" w:rsidRDefault="00A3460A">
      <w:pPr>
        <w:pStyle w:val="Nagwek1"/>
      </w:pPr>
      <w:r>
        <w:br w:type="page"/>
      </w:r>
      <w:bookmarkStart w:id="4" w:name="_Toc256000000"/>
      <w:bookmarkStart w:id="5" w:name="scroll-bookmark-1"/>
      <w:r>
        <w:lastRenderedPageBreak/>
        <w:t>Wstęp</w:t>
      </w:r>
      <w:bookmarkEnd w:id="4"/>
      <w:bookmarkEnd w:id="5"/>
    </w:p>
    <w:p w:rsidR="0087020C" w:rsidRDefault="00A3460A">
      <w:r>
        <w:t>Niniejszy dokument jest częścią Dokumentacji technicznej. Zawiera projekt serwerowni CPD 1.</w:t>
      </w:r>
    </w:p>
    <w:p w:rsidR="0087020C" w:rsidRDefault="00A3460A">
      <w:r>
        <w:t xml:space="preserve">Dokument został uzupełniony na podstawie zmian wynikających </w:t>
      </w:r>
      <w:r>
        <w:t>z prac wdrożeniowych.</w:t>
      </w:r>
    </w:p>
    <w:p w:rsidR="0087020C" w:rsidRDefault="0087020C"/>
    <w:p w:rsidR="0087020C" w:rsidRDefault="00A3460A">
      <w:pPr>
        <w:pStyle w:val="Nagwek1"/>
      </w:pPr>
      <w:bookmarkStart w:id="6" w:name="_Toc256000001"/>
      <w:bookmarkStart w:id="7" w:name="scroll-bookmark-2"/>
      <w:r>
        <w:t>Bezpieczeństwo przechowywania danych</w:t>
      </w:r>
      <w:bookmarkEnd w:id="6"/>
      <w:bookmarkEnd w:id="7"/>
    </w:p>
    <w:p w:rsidR="0087020C" w:rsidRDefault="00A3460A">
      <w:pPr>
        <w:pStyle w:val="Nagwek2"/>
      </w:pPr>
      <w:bookmarkStart w:id="8" w:name="_Toc256000002"/>
      <w:bookmarkStart w:id="9" w:name="scroll-bookmark-3"/>
      <w:r>
        <w:t>Certyfikaty</w:t>
      </w:r>
      <w:bookmarkEnd w:id="8"/>
      <w:bookmarkEnd w:id="9"/>
    </w:p>
    <w:p w:rsidR="0087020C" w:rsidRDefault="00A3460A">
      <w:r>
        <w:t>Mając na uwadze bezpieczeństwo informacji klientów firma Polcom Sp. z o.o. dokłada wszelkich starań, aby usługi, które świadczymy w obszarach jakości i bezpieczeństwa odpowiadały najwy</w:t>
      </w:r>
      <w:r>
        <w:t xml:space="preserve">ższym światowym standardom. Wyrazem tego podejścia do wyżej wymienionych zagadnień jest zaangażowanie Kierownictwa przedstawione w Polityce Bezpieczeństwa gwarantujące pełne wsparcie Zarządu oraz środki dla wszelakich działań mających na celu podniesienie </w:t>
      </w:r>
      <w:r>
        <w:t>jakości i bezpieczeństwa świadczonych usług, czego dowodem są uzyskane i corocznie aktualizowane certyfikaty:</w:t>
      </w:r>
    </w:p>
    <w:p w:rsidR="0087020C" w:rsidRDefault="00A3460A">
      <w:pPr>
        <w:numPr>
          <w:ilvl w:val="0"/>
          <w:numId w:val="12"/>
        </w:numPr>
      </w:pPr>
      <w:r>
        <w:t>ISO 9001:2008 HU 10/5043 w zakresie konsultingu, opracowanie i modernizacja, sprzedaż i utrzymanie systemów informatycznych, usług wdrożeniowych i</w:t>
      </w:r>
      <w:r>
        <w:t xml:space="preserve"> serwisowych systemów i sprzętu IT, realizacji projektów outsourcingu IT, usług przetwarzania w chmurze „Cloud Computing” na bazie Polcom Data Center.</w:t>
      </w:r>
    </w:p>
    <w:p w:rsidR="0087020C" w:rsidRDefault="00A3460A">
      <w:pPr>
        <w:numPr>
          <w:ilvl w:val="0"/>
          <w:numId w:val="12"/>
        </w:numPr>
      </w:pPr>
      <w:r>
        <w:t>ISO/IEC 27001:2005 HU 11/6162 w zakresie outsourcingu usług IT i przetwarzania danych w chmurze oparty na</w:t>
      </w:r>
      <w:r>
        <w:t xml:space="preserve"> infrastrukturze IT własnego centrum przetwarzania danych.</w:t>
      </w:r>
    </w:p>
    <w:p w:rsidR="0087020C" w:rsidRDefault="00A3460A">
      <w:pPr>
        <w:numPr>
          <w:ilvl w:val="0"/>
          <w:numId w:val="12"/>
        </w:numPr>
      </w:pPr>
      <w:r>
        <w:t>Certyfikat Bezpieczeństwa Przemysłowego II stopnia, którego przedmiotem są informacje niejawne o klauzulach poufności do „Tajne NATO”, „Tajne UNIA”, Tajne KRAJ” łącznie z systemem organizacyjno-tec</w:t>
      </w:r>
      <w:r>
        <w:t>hnicznym ich ochrony (KTM), co upoważnia naszych pracowników do przetwarzania dokumentacji o wyżej wymienionym stopniu poufności.</w:t>
      </w:r>
    </w:p>
    <w:p w:rsidR="0087020C" w:rsidRDefault="0087020C"/>
    <w:p w:rsidR="0087020C" w:rsidRDefault="00A3460A">
      <w:pPr>
        <w:pStyle w:val="Nagwek2"/>
      </w:pPr>
      <w:bookmarkStart w:id="10" w:name="_Toc256000003"/>
      <w:bookmarkStart w:id="11" w:name="scroll-bookmark-4"/>
      <w:r>
        <w:t>Ograniczenie dostępu do informacji</w:t>
      </w:r>
      <w:bookmarkEnd w:id="10"/>
      <w:bookmarkEnd w:id="11"/>
    </w:p>
    <w:p w:rsidR="0087020C" w:rsidRDefault="00A3460A">
      <w:r>
        <w:t>Dostęp do informacji i funkcji systemowych aplikacji jest ograniczony. Są wyizolowane miej</w:t>
      </w:r>
      <w:r>
        <w:t xml:space="preserve">sca, z ograniczonym dostępem, z zabezpieczeniami (system alarmowy, system kontroli dostępu, zamki, drzwi, szafy i szafki zamykane na klucz), gdzie przechowywane są informacje i aplikacje wrażliwe, chronione – tzw. strefy </w:t>
      </w:r>
      <w:r>
        <w:lastRenderedPageBreak/>
        <w:t>bezpieczeństwa. Dostęp do stref bez</w:t>
      </w:r>
      <w:r>
        <w:t>pieczeństwa ograniczony jest do osób upoważnionych.</w:t>
      </w:r>
    </w:p>
    <w:p w:rsidR="0087020C" w:rsidRDefault="0087020C"/>
    <w:p w:rsidR="0087020C" w:rsidRDefault="00A3460A">
      <w:pPr>
        <w:pStyle w:val="Nagwek2"/>
      </w:pPr>
      <w:bookmarkStart w:id="12" w:name="_Toc256000004"/>
      <w:bookmarkStart w:id="13" w:name="scroll-bookmark-5"/>
      <w:r>
        <w:t>Izolowanie systemów wrażliwych</w:t>
      </w:r>
      <w:bookmarkEnd w:id="12"/>
      <w:bookmarkEnd w:id="13"/>
    </w:p>
    <w:p w:rsidR="0087020C" w:rsidRDefault="00A3460A">
      <w:r>
        <w:t>Systemy wrażliwe (serwer / komputery przetwarzające informacje wrażliwe lub niejawne) są izolowane od sieci publicznych przez firewalle. Dostęp do pomieszczeń w strefach be</w:t>
      </w:r>
      <w:r>
        <w:t>zpieczeństwa jest chroniony przez wielopoziomowy system kontroli dostępu. Ograniczony dostęp do osób upoważnionych - określone osoby maja prawo wejścia do tych pomieszczeń, inne osoby mogą wejść tylko w obecności i pod nadzorem osób upoważnionych. Zabezpie</w:t>
      </w:r>
      <w:r>
        <w:t>czenia typu: system alarmowy, system kontroli dostępu, zamki, drzwi, szafy i szafki zamykane na klucz.</w:t>
      </w:r>
    </w:p>
    <w:p w:rsidR="0087020C" w:rsidRDefault="0087020C"/>
    <w:p w:rsidR="0087020C" w:rsidRDefault="00A3460A">
      <w:pPr>
        <w:pStyle w:val="Legenda"/>
        <w:keepNext/>
      </w:pPr>
      <w:r>
        <w:lastRenderedPageBreak/>
        <w:t xml:space="preserve">Figure </w:t>
      </w:r>
      <w:r>
        <w:fldChar w:fldCharType="begin"/>
      </w:r>
      <w:r>
        <w:instrText>SEQ Figure \* ARABIC</w:instrText>
      </w:r>
      <w:r>
        <w:fldChar w:fldCharType="separate"/>
      </w:r>
      <w:r w:rsidR="00B94B6C">
        <w:rPr>
          <w:noProof/>
        </w:rPr>
        <w:t>1</w:t>
      </w:r>
      <w:r>
        <w:fldChar w:fldCharType="end"/>
      </w:r>
      <w:r>
        <w:t xml:space="preserve"> ISO/IEC 27001:2005</w:t>
      </w:r>
    </w:p>
    <w:p w:rsidR="0087020C" w:rsidRDefault="00A3460A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ISO/IEC 27001:2005" style="width:386.25pt;height:547.5pt" o:allowoverlap="f">
            <v:imagedata r:id="rId8" o:title=""/>
          </v:shape>
        </w:pict>
      </w:r>
    </w:p>
    <w:p w:rsidR="0087020C" w:rsidRDefault="0087020C"/>
    <w:p w:rsidR="0087020C" w:rsidRDefault="00A3460A">
      <w:pPr>
        <w:pStyle w:val="Legenda"/>
        <w:keepNext/>
      </w:pPr>
      <w:r>
        <w:lastRenderedPageBreak/>
        <w:t xml:space="preserve">Figure </w:t>
      </w:r>
      <w:r>
        <w:fldChar w:fldCharType="begin"/>
      </w:r>
      <w:r>
        <w:instrText>SEQ Figure \* ARABIC</w:instrText>
      </w:r>
      <w:r>
        <w:fldChar w:fldCharType="separate"/>
      </w:r>
      <w:r w:rsidR="00B94B6C">
        <w:rPr>
          <w:noProof/>
        </w:rPr>
        <w:t>2</w:t>
      </w:r>
      <w:r>
        <w:fldChar w:fldCharType="end"/>
      </w:r>
      <w:r>
        <w:t xml:space="preserve"> ISO 9001:2008</w:t>
      </w:r>
    </w:p>
    <w:p w:rsidR="0087020C" w:rsidRDefault="00A3460A">
      <w:r>
        <w:pict>
          <v:shape id="_x0000_i1026" type="#_x0000_t75" alt="ISO 9001:2008" style="width:394.5pt;height:558pt" o:allowoverlap="f">
            <v:imagedata r:id="rId9" o:title=""/>
          </v:shape>
        </w:pict>
      </w:r>
    </w:p>
    <w:p w:rsidR="0087020C" w:rsidRDefault="0087020C"/>
    <w:p w:rsidR="0087020C" w:rsidRDefault="00A3460A">
      <w:pPr>
        <w:pStyle w:val="Legenda"/>
        <w:keepNext/>
      </w:pPr>
      <w:r>
        <w:lastRenderedPageBreak/>
        <w:t xml:space="preserve">Figure </w:t>
      </w:r>
      <w:r>
        <w:fldChar w:fldCharType="begin"/>
      </w:r>
      <w:r>
        <w:instrText>SEQ Figure \* ARABIC</w:instrText>
      </w:r>
      <w:r>
        <w:fldChar w:fldCharType="separate"/>
      </w:r>
      <w:r w:rsidR="00B94B6C">
        <w:rPr>
          <w:noProof/>
        </w:rPr>
        <w:t>3</w:t>
      </w:r>
      <w:r>
        <w:fldChar w:fldCharType="end"/>
      </w:r>
      <w:r>
        <w:t xml:space="preserve"> NATO SECRET</w:t>
      </w:r>
    </w:p>
    <w:p w:rsidR="0087020C" w:rsidRDefault="00A3460A">
      <w:r>
        <w:pict>
          <v:shape id="_x0000_i1027" type="#_x0000_t75" alt="NATO SECRET" style="width:381pt;height:539.25pt" o:allowoverlap="f">
            <v:imagedata r:id="rId10" o:title=""/>
          </v:shape>
        </w:pict>
      </w:r>
    </w:p>
    <w:p w:rsidR="0087020C" w:rsidRDefault="0087020C"/>
    <w:p w:rsidR="0087020C" w:rsidRDefault="00A3460A">
      <w:pPr>
        <w:pStyle w:val="Legenda"/>
        <w:keepNext/>
      </w:pPr>
      <w:r>
        <w:lastRenderedPageBreak/>
        <w:t>Fi</w:t>
      </w:r>
      <w:r>
        <w:t xml:space="preserve">gure </w:t>
      </w:r>
      <w:r>
        <w:fldChar w:fldCharType="begin"/>
      </w:r>
      <w:r>
        <w:instrText>SEQ Figure \* ARABIC</w:instrText>
      </w:r>
      <w:r>
        <w:fldChar w:fldCharType="separate"/>
      </w:r>
      <w:r w:rsidR="00B94B6C">
        <w:rPr>
          <w:noProof/>
        </w:rPr>
        <w:t>4</w:t>
      </w:r>
      <w:r>
        <w:fldChar w:fldCharType="end"/>
      </w:r>
      <w:r>
        <w:t xml:space="preserve"> EU/UE SECRET</w:t>
      </w:r>
    </w:p>
    <w:p w:rsidR="0087020C" w:rsidRDefault="00A3460A">
      <w:r>
        <w:pict>
          <v:shape id="_x0000_i1028" type="#_x0000_t75" alt="EU/UE SECRET" style="width:379.5pt;height:537pt" o:allowoverlap="f">
            <v:imagedata r:id="rId11" o:title=""/>
          </v:shape>
        </w:pict>
      </w:r>
    </w:p>
    <w:p w:rsidR="0087020C" w:rsidRDefault="0087020C"/>
    <w:p w:rsidR="0087020C" w:rsidRDefault="00A3460A">
      <w:pPr>
        <w:pStyle w:val="Legenda"/>
        <w:keepNext/>
      </w:pPr>
      <w:r>
        <w:lastRenderedPageBreak/>
        <w:t xml:space="preserve">Figure </w:t>
      </w:r>
      <w:r>
        <w:fldChar w:fldCharType="begin"/>
      </w:r>
      <w:r>
        <w:instrText>SEQ Figure \* ARABIC</w:instrText>
      </w:r>
      <w:r>
        <w:fldChar w:fldCharType="separate"/>
      </w:r>
      <w:r w:rsidR="00B94B6C">
        <w:rPr>
          <w:noProof/>
        </w:rPr>
        <w:t>5</w:t>
      </w:r>
      <w:r>
        <w:fldChar w:fldCharType="end"/>
      </w:r>
      <w:r>
        <w:t xml:space="preserve"> Świadectwo bezpieczeństwa przemysłowego</w:t>
      </w:r>
    </w:p>
    <w:p w:rsidR="0087020C" w:rsidRDefault="00A3460A">
      <w:r>
        <w:pict>
          <v:shape id="_x0000_i1029" type="#_x0000_t75" alt="Świadectwo bezpieczeństwa przemysłowego" style="width:394.5pt;height:558pt" o:allowoverlap="f">
            <v:imagedata r:id="rId12" o:title=""/>
          </v:shape>
        </w:pict>
      </w:r>
    </w:p>
    <w:p w:rsidR="0087020C" w:rsidRDefault="0087020C"/>
    <w:p w:rsidR="0087020C" w:rsidRDefault="00A3460A">
      <w:pPr>
        <w:pStyle w:val="Nagwek1"/>
      </w:pPr>
      <w:bookmarkStart w:id="14" w:name="_Toc256000005"/>
      <w:bookmarkStart w:id="15" w:name="scroll-bookmark-6"/>
      <w:r>
        <w:lastRenderedPageBreak/>
        <w:t>Cechy obiektu</w:t>
      </w:r>
      <w:bookmarkEnd w:id="14"/>
      <w:bookmarkEnd w:id="15"/>
    </w:p>
    <w:p w:rsidR="0087020C" w:rsidRDefault="00A3460A">
      <w:pPr>
        <w:pStyle w:val="Nagwek2"/>
      </w:pPr>
      <w:bookmarkStart w:id="16" w:name="_Toc256000006"/>
      <w:bookmarkStart w:id="17" w:name="scroll-bookmark-7"/>
      <w:r>
        <w:t>Cechy ogólne</w:t>
      </w:r>
      <w:bookmarkEnd w:id="16"/>
      <w:bookmarkEnd w:id="17"/>
    </w:p>
    <w:p w:rsidR="0087020C" w:rsidRDefault="00A3460A">
      <w:pPr>
        <w:numPr>
          <w:ilvl w:val="0"/>
          <w:numId w:val="13"/>
        </w:numPr>
      </w:pPr>
      <w:r>
        <w:t>Lokalizacja w Skawinie, w odległości 1 km od obwodnicy Krakowa i 10 km od portu lotniczego Balice.</w:t>
      </w:r>
    </w:p>
    <w:p w:rsidR="0087020C" w:rsidRDefault="00A3460A">
      <w:pPr>
        <w:numPr>
          <w:ilvl w:val="0"/>
          <w:numId w:val="13"/>
        </w:numPr>
      </w:pPr>
      <w:r>
        <w:t>Położenie</w:t>
      </w:r>
      <w:r>
        <w:t xml:space="preserve"> w bezpiecznej strefie z dala od zagrożeń komunikacyjnych, naturalnych, pożarowych.</w:t>
      </w:r>
    </w:p>
    <w:p w:rsidR="0087020C" w:rsidRDefault="00A3460A">
      <w:pPr>
        <w:numPr>
          <w:ilvl w:val="0"/>
          <w:numId w:val="13"/>
        </w:numPr>
      </w:pPr>
      <w:r>
        <w:t>Z dala od miejsc organizacji imprez masowych, strajków etc.</w:t>
      </w:r>
    </w:p>
    <w:p w:rsidR="0087020C" w:rsidRDefault="00A3460A">
      <w:pPr>
        <w:numPr>
          <w:ilvl w:val="0"/>
          <w:numId w:val="13"/>
        </w:numPr>
      </w:pPr>
      <w:r>
        <w:t>Poza strefą zalewową i z dala od rzek.</w:t>
      </w:r>
    </w:p>
    <w:p w:rsidR="0087020C" w:rsidRDefault="00A3460A">
      <w:pPr>
        <w:numPr>
          <w:ilvl w:val="0"/>
          <w:numId w:val="13"/>
        </w:numPr>
      </w:pPr>
      <w:r>
        <w:t>Budynek o konstrukcji żelbetonowej.</w:t>
      </w:r>
    </w:p>
    <w:p w:rsidR="0087020C" w:rsidRDefault="00A3460A">
      <w:pPr>
        <w:numPr>
          <w:ilvl w:val="0"/>
          <w:numId w:val="13"/>
        </w:numPr>
      </w:pPr>
      <w:r>
        <w:t>Strefa techniczna odseparowana od czę</w:t>
      </w:r>
      <w:r>
        <w:t>ści przetwarzania danych.</w:t>
      </w:r>
    </w:p>
    <w:p w:rsidR="0087020C" w:rsidRDefault="00A3460A">
      <w:pPr>
        <w:numPr>
          <w:ilvl w:val="0"/>
          <w:numId w:val="13"/>
        </w:numPr>
      </w:pPr>
      <w:r>
        <w:t>3 000 m</w:t>
      </w:r>
      <w:r>
        <w:rPr>
          <w:vertAlign w:val="superscript"/>
        </w:rPr>
        <w:t>2</w:t>
      </w:r>
      <w:r>
        <w:t xml:space="preserve"> serwerowni podzielonej na 6 niezależnych komór, które mogą być dodatkowo wydzielone w mniejsze boksy w zależności od wymagań klientów.</w:t>
      </w:r>
    </w:p>
    <w:p w:rsidR="0087020C" w:rsidRDefault="00A3460A">
      <w:pPr>
        <w:numPr>
          <w:ilvl w:val="0"/>
          <w:numId w:val="13"/>
        </w:numPr>
      </w:pPr>
      <w:r>
        <w:t>Całodobowa obsługa operatorska (24x7x365).</w:t>
      </w:r>
    </w:p>
    <w:p w:rsidR="0087020C" w:rsidRDefault="0087020C"/>
    <w:p w:rsidR="0087020C" w:rsidRDefault="00B94B6C">
      <w:r>
        <w:pict>
          <v:shape id="_x0000_i1030" type="#_x0000_t75" alt="/download/attachments/243480637/image2015-3-10%2011%3A52%3A51.png?version=1&amp;modificationDate=1425984881000&amp;api=v2" style="width:453pt;height:254.25pt" o:allowoverlap="f">
            <v:imagedata r:id="rId13" o:title=""/>
          </v:shape>
        </w:pict>
      </w:r>
    </w:p>
    <w:p w:rsidR="0087020C" w:rsidRDefault="0087020C"/>
    <w:p w:rsidR="0087020C" w:rsidRDefault="00A3460A">
      <w:pPr>
        <w:pStyle w:val="Nagwek2"/>
      </w:pPr>
      <w:bookmarkStart w:id="18" w:name="_Toc256000007"/>
      <w:bookmarkStart w:id="19" w:name="scroll-bookmark-8"/>
      <w:r>
        <w:t>Zasilanie</w:t>
      </w:r>
      <w:bookmarkEnd w:id="18"/>
      <w:bookmarkEnd w:id="19"/>
    </w:p>
    <w:p w:rsidR="0087020C" w:rsidRDefault="00A3460A">
      <w:r>
        <w:t xml:space="preserve">Zasilanie Polcom Data Center </w:t>
      </w:r>
      <w:r>
        <w:t>zaprojektowane jest zgodnie z wymaganiami Uptime Insititute w zakresie standardu TIER 4. Oznacza to, że cały tor zasilania każdego urządzenia jest zdublowany, począwszy od przyłączy energetycznych, a na samych zasilaczach serwera kończąc.</w:t>
      </w:r>
    </w:p>
    <w:p w:rsidR="0087020C" w:rsidRDefault="0087020C"/>
    <w:p w:rsidR="0087020C" w:rsidRDefault="00A3460A">
      <w:r>
        <w:lastRenderedPageBreak/>
        <w:t>POLCOM Data Cent</w:t>
      </w:r>
      <w:r>
        <w:t>er zasilany jest dwoma niezależnymi przyłączami średniego napięcia - 15kV. Magistrale na całej długości prowadzone są pod ziemią, co znacząco ogranicza ryzyko przerwy w dostawie energii spowodowane zerwaniem linii zasilającej. Docelowo serwerownia będzie p</w:t>
      </w:r>
      <w:r>
        <w:t>obierać 15 MVA energii. Wewnątrz serwerowni dystrybucja zasilania odbywa się za pomocą szynoprzewodów, które gwarantują większe bezpieczeństwo i niezawodność.</w:t>
      </w:r>
    </w:p>
    <w:p w:rsidR="0087020C" w:rsidRDefault="0087020C"/>
    <w:p w:rsidR="0087020C" w:rsidRDefault="00A3460A">
      <w:r>
        <w:t>POLCOM posiada własną 19 polową Rozdzielnie Średniego Napięcia, która umożliwia realizować funkc</w:t>
      </w:r>
      <w:r>
        <w:t>ję Samoczynnego Załączania Rezerwy (SZR) na napięciu 15kV. Pozwala to mieć większą kontrolę nad zasilaniem i zwiększa niezawodność systemu zasilającego.</w:t>
      </w:r>
    </w:p>
    <w:p w:rsidR="0087020C" w:rsidRDefault="00A3460A">
      <w:r>
        <w:t xml:space="preserve">Każda z komór serwerowni posiada niezależny zestaw dwóch transformatorów o mocy 2,5 MVA każdy. Łącznie </w:t>
      </w:r>
      <w:r>
        <w:t>budynek wyposażony jest w 12 transformatorów 2,5 MVA do zasilania serwerowni i osobny 400 kVA do zasilania biurowca.</w:t>
      </w:r>
    </w:p>
    <w:p w:rsidR="0087020C" w:rsidRDefault="00A3460A">
      <w:r>
        <w:t>Standardowo, zasilanie sprzętu IT zabezpieczone jest przez UPS’y pracujące w redundancji 2N. Na życzenie klienta układ ten może być rozbudo</w:t>
      </w:r>
      <w:r>
        <w:t>wany do poziomu 2(N+1). Przy pełnym obciążeniu UPS’ów, okres autonomii wynosi 15 min i stanowi wystarczający bufor czasu na uruchomienie agregatów prądotwórczych. Dodatkowo zainstalowano UPS’y do podtrzymywania pracy układów klimatyzacji precyzyjnej. Takie</w:t>
      </w:r>
      <w:r>
        <w:t xml:space="preserve"> rozwiązanie pozwala zabezpieczyć serwery przed przegrzaniem podczas awaryjnego przejścia zasilania z przyłączy energetycznych na pracę z agregatu.</w:t>
      </w:r>
    </w:p>
    <w:p w:rsidR="0087020C" w:rsidRDefault="00A3460A">
      <w:r>
        <w:t>Uzupełnienie całego systemu zasilania stanowić będzie sześć agregatów prądotwórczych o mocy 2 500 kVA każdy,</w:t>
      </w:r>
      <w:r>
        <w:t xml:space="preserve"> które uruchamiają się automatycznie przy zaniku zasilania głównego. Dwa zbiorniki paliwa o pojemności 50 000 l stanowią rezerwę na 48h pracy agregatu.</w:t>
      </w:r>
    </w:p>
    <w:p w:rsidR="0087020C" w:rsidRDefault="0087020C"/>
    <w:p w:rsidR="0087020C" w:rsidRDefault="00A3460A">
      <w:pPr>
        <w:numPr>
          <w:ilvl w:val="0"/>
          <w:numId w:val="14"/>
        </w:numPr>
      </w:pPr>
      <w:r>
        <w:t>Dwa podziemne przyłącza energetyczne średniego napięcia 15kV.</w:t>
      </w:r>
    </w:p>
    <w:p w:rsidR="0087020C" w:rsidRDefault="00A3460A">
      <w:pPr>
        <w:numPr>
          <w:ilvl w:val="0"/>
          <w:numId w:val="14"/>
        </w:numPr>
      </w:pPr>
      <w:r>
        <w:t>Rezerwowy agregat prądotwórczy.</w:t>
      </w:r>
    </w:p>
    <w:p w:rsidR="0087020C" w:rsidRDefault="00A3460A">
      <w:pPr>
        <w:numPr>
          <w:ilvl w:val="0"/>
          <w:numId w:val="14"/>
        </w:numPr>
      </w:pPr>
      <w:r>
        <w:t>Dystrybucja zasilania w układzie 2N.</w:t>
      </w:r>
    </w:p>
    <w:p w:rsidR="0087020C" w:rsidRDefault="00A3460A">
      <w:pPr>
        <w:numPr>
          <w:ilvl w:val="0"/>
          <w:numId w:val="14"/>
        </w:numPr>
      </w:pPr>
      <w:r>
        <w:t>System podtrzymania zasilania UPS w układzie 2x2N i możliwy nawet 2(N+1).</w:t>
      </w:r>
    </w:p>
    <w:p w:rsidR="0087020C" w:rsidRDefault="00A3460A">
      <w:pPr>
        <w:numPr>
          <w:ilvl w:val="0"/>
          <w:numId w:val="14"/>
        </w:numPr>
      </w:pPr>
      <w:r>
        <w:t>System zasilania przygotowany do dostarczenia do 15kW/RACK.</w:t>
      </w:r>
    </w:p>
    <w:p w:rsidR="0087020C" w:rsidRDefault="00A3460A">
      <w:pPr>
        <w:numPr>
          <w:ilvl w:val="0"/>
          <w:numId w:val="14"/>
        </w:numPr>
      </w:pPr>
      <w:r>
        <w:t>Rozbudowany system monitorowania parametrów zasilania.</w:t>
      </w:r>
    </w:p>
    <w:p w:rsidR="0087020C" w:rsidRDefault="0087020C"/>
    <w:p w:rsidR="0087020C" w:rsidRDefault="00A3460A">
      <w:pPr>
        <w:pStyle w:val="Nagwek2"/>
      </w:pPr>
      <w:bookmarkStart w:id="20" w:name="_Toc256000008"/>
      <w:bookmarkStart w:id="21" w:name="scroll-bookmark-9"/>
      <w:r>
        <w:t>Klimatyzacja</w:t>
      </w:r>
      <w:bookmarkEnd w:id="20"/>
      <w:bookmarkEnd w:id="21"/>
    </w:p>
    <w:p w:rsidR="0087020C" w:rsidRDefault="00A3460A">
      <w:r>
        <w:t>Serwerownia jako</w:t>
      </w:r>
      <w:r>
        <w:t xml:space="preserve"> skupisko pracujących urządzeń elektronicznych, to potężny emitent ciepła. Nieodzowne zatem jest utrzymanie odpowiednich warunków dla pracy wszystkich urządzeń i zasobów IT, czyli określonej temperatury i wilgotności. Aby zapewnić takie optymalne warunki, </w:t>
      </w:r>
      <w:r>
        <w:t xml:space="preserve">wykonano innowacyjny system klimatyzacji </w:t>
      </w:r>
      <w:r>
        <w:lastRenderedPageBreak/>
        <w:t xml:space="preserve">precyzyjnej, która musi być niezawodna i możliwie tania w eksploatacji. Sama idea systemu chłodniczego została skorelowana z innymi systemami (zasilanie, LAN, system gaszenia) i uwarunkowaniami architektonicznymi w </w:t>
      </w:r>
      <w:r>
        <w:t>taki sposób, aby uzyskać efekt synergii.</w:t>
      </w:r>
      <w:r>
        <w:rPr>
          <w:b/>
        </w:rPr>
        <w:t xml:space="preserve"> </w:t>
      </w:r>
    </w:p>
    <w:p w:rsidR="0087020C" w:rsidRDefault="0087020C"/>
    <w:p w:rsidR="0087020C" w:rsidRDefault="00B94B6C">
      <w:r>
        <w:pict>
          <v:shape id="_x0000_i1031" type="#_x0000_t75" alt="/download/attachments/243480637/image2015-3-10%2011%3A53%3A3.png?version=1&amp;modificationDate=1425984881000&amp;api=v2" style="width:453pt;height:452.25pt" o:allowoverlap="f">
            <v:imagedata r:id="rId14" o:title=""/>
          </v:shape>
        </w:pict>
      </w:r>
    </w:p>
    <w:p w:rsidR="0087020C" w:rsidRDefault="0087020C"/>
    <w:p w:rsidR="0087020C" w:rsidRDefault="00A3460A">
      <w:r>
        <w:t>W celu podniesienia efektywności systemu chłodniczego, w serwerowni zostały zainstalowane wyspy szaf RACK’owych z zamkniętym korytarzem zimnym. Chłodne powietrze porusza się pod podłoga podniesioną wysoka na 1,</w:t>
      </w:r>
      <w:r>
        <w:t xml:space="preserve">2 m i jest wyrzucane wprost na front serwerów. Zamknięcie korytarza spowodowało nie mieszanie się </w:t>
      </w:r>
      <w:r>
        <w:lastRenderedPageBreak/>
        <w:t>powietrza zimnego i ciepłego a także równomierny rozkład temperatury na całej wysokości szafy RACK.</w:t>
      </w:r>
    </w:p>
    <w:p w:rsidR="0087020C" w:rsidRDefault="0087020C"/>
    <w:p w:rsidR="0087020C" w:rsidRDefault="00A3460A">
      <w:r>
        <w:t>Wysokość podłogi podniesionej została dobrana w taki spos</w:t>
      </w:r>
      <w:r>
        <w:t>ób, aby utrzymać równomierne ciśnienie na całej powierzchni serwerowni i stworzyć odpowiednio duży zład chłodu. W celu zachowania odpowiedniej cyrkulacji powietrza pod podłogą techniczną ograniczono wszelkie przeszkody do minimum stosując m.in. szynoprzewo</w:t>
      </w:r>
      <w:r>
        <w:t>dy w systemie energetycznym a system okablowania strukturalnego LAN wyniesiono ponad szafy RACK do strefy ciepłej. Dodatkowo zrezygnowano z instalacji sufitu podwieszonego a żebra konstrukcyjne znajdujące się na stropie pomieszczenia skierowano w stronę kl</w:t>
      </w:r>
      <w:r>
        <w:t>imatyzatorów. W ten sposób uzyskano efekt synergii wspomagający przepływ powietrza i umożliwiający odebranie do 15kW ciepła z pojedynczej szafy RACK bez stosowania kosztownych rozwiązań typu In-row cooling.</w:t>
      </w:r>
    </w:p>
    <w:p w:rsidR="0087020C" w:rsidRDefault="00A3460A">
      <w:r>
        <w:t>Każda komora z serwerami posiada szafy klimatyzac</w:t>
      </w:r>
      <w:r>
        <w:t>ji precyzyjnej w redundancji N+2. Każda z szaf wyposażona jest w podwójne chłodnice, co umożliwia podpięcie ich do dwóch niezależnych źródeł chłodu. W ten sposób znacząco został zwiększony poziom niezawodności.</w:t>
      </w:r>
    </w:p>
    <w:p w:rsidR="0087020C" w:rsidRDefault="0087020C"/>
    <w:p w:rsidR="0087020C" w:rsidRDefault="00A3460A">
      <w:r>
        <w:t>Szafy klimatyzacji precyzyjnej są tak zlokal</w:t>
      </w:r>
      <w:r>
        <w:t>izowane, że nawet przy zagrożeniu pożarowym</w:t>
      </w:r>
      <w:r>
        <w:br/>
        <w:t>nie przestają działać. Jest to szczególnie ważne w nowoczesnym środowisku IT gdzie serwery o dużej gęstości mocy nie mogą być pozbawione chłodzenia przez dłużej niż 1-2 min.</w:t>
      </w:r>
    </w:p>
    <w:p w:rsidR="0087020C" w:rsidRDefault="00A3460A">
      <w:r>
        <w:t>Do każdej szafy klimatyzacji precyzyjn</w:t>
      </w:r>
      <w:r>
        <w:t>ej jest możliwe doprowadzenie dwóch niezależnych źródeł chłodu. Głównym źródłem chłodu jest nadmiarowy (N+1) układ chiller’ów wody lodowej pracujący na wspólną magistralę. Magistralę stanowi rurociąg, który umożliwia dystrybucję wody lodowej dwoma niezależ</w:t>
      </w:r>
      <w:r>
        <w:t>nymi drogami. Drugie źródło chłodu stanowią dry cooler’y umieszczone na dachu serwerowni.</w:t>
      </w:r>
    </w:p>
    <w:p w:rsidR="0087020C" w:rsidRDefault="0087020C"/>
    <w:p w:rsidR="0087020C" w:rsidRDefault="00A3460A">
      <w:pPr>
        <w:numPr>
          <w:ilvl w:val="0"/>
          <w:numId w:val="15"/>
        </w:numPr>
      </w:pPr>
      <w:r>
        <w:t>Dwa niezależne źródła chłodu.</w:t>
      </w:r>
    </w:p>
    <w:p w:rsidR="0087020C" w:rsidRDefault="00A3460A">
      <w:pPr>
        <w:numPr>
          <w:ilvl w:val="0"/>
          <w:numId w:val="15"/>
        </w:numPr>
      </w:pPr>
      <w:r>
        <w:t>Redundantny system klimatyzacji precyzyjnej.</w:t>
      </w:r>
    </w:p>
    <w:p w:rsidR="0087020C" w:rsidRDefault="00A3460A">
      <w:pPr>
        <w:numPr>
          <w:ilvl w:val="0"/>
          <w:numId w:val="15"/>
        </w:numPr>
      </w:pPr>
      <w:r>
        <w:t>Nadmiarowy układ chiller’ów wody lodowej.</w:t>
      </w:r>
    </w:p>
    <w:p w:rsidR="0087020C" w:rsidRDefault="00A3460A">
      <w:pPr>
        <w:numPr>
          <w:ilvl w:val="0"/>
          <w:numId w:val="15"/>
        </w:numPr>
      </w:pPr>
      <w:r>
        <w:t>Dwie redundantne drogi dystrybucji wody lodowej.</w:t>
      </w:r>
    </w:p>
    <w:p w:rsidR="0087020C" w:rsidRDefault="00A3460A">
      <w:pPr>
        <w:numPr>
          <w:ilvl w:val="0"/>
          <w:numId w:val="15"/>
        </w:numPr>
      </w:pPr>
      <w:r>
        <w:t>Możliwość wychłodzenia do 15kW/RACK</w:t>
      </w:r>
    </w:p>
    <w:p w:rsidR="0087020C" w:rsidRDefault="00A3460A">
      <w:pPr>
        <w:numPr>
          <w:ilvl w:val="0"/>
          <w:numId w:val="15"/>
        </w:numPr>
      </w:pPr>
      <w:r>
        <w:t>Freecooling – ograniczenie kosztów eksploatacji.</w:t>
      </w:r>
    </w:p>
    <w:p w:rsidR="0087020C" w:rsidRDefault="0087020C"/>
    <w:p w:rsidR="0087020C" w:rsidRDefault="00A3460A">
      <w:r>
        <w:t xml:space="preserve">Główne źródło chłodu dostosowane jest do pracy w trybie </w:t>
      </w:r>
      <w:r>
        <w:rPr>
          <w:b/>
        </w:rPr>
        <w:t>free cooling</w:t>
      </w:r>
      <w:r>
        <w:t xml:space="preserve">. Oznacza to, że jeżeli warunki zewnętrze pozwalają na wychłodzenie wody (glikolu) do takiego </w:t>
      </w:r>
      <w:r>
        <w:lastRenderedPageBreak/>
        <w:t>stopnia</w:t>
      </w:r>
      <w:r>
        <w:t>, że może ona całkowicie lub częściowo pokryć zapotrzebowanie na chłód, sterownik odcina lub minimalizuje pracę sprężarek, redukując w ten sposób pobór energii. W ten sposób system klimatyzacji jest nie tylko bardziej przyjazny środowisku, ale również pozw</w:t>
      </w:r>
      <w:r>
        <w:t>ala znacząco obniżyć koszty eksploatacyjne.</w:t>
      </w:r>
    </w:p>
    <w:p w:rsidR="0087020C" w:rsidRDefault="0087020C"/>
    <w:p w:rsidR="0087020C" w:rsidRDefault="00A3460A">
      <w:pPr>
        <w:pStyle w:val="Nagwek2"/>
      </w:pPr>
      <w:bookmarkStart w:id="22" w:name="_Toc256000009"/>
      <w:bookmarkStart w:id="23" w:name="scroll-bookmark-10"/>
      <w:r>
        <w:t>Bezpieczeństwo</w:t>
      </w:r>
      <w:bookmarkEnd w:id="22"/>
      <w:bookmarkEnd w:id="23"/>
    </w:p>
    <w:p w:rsidR="0087020C" w:rsidRDefault="00A3460A">
      <w:r>
        <w:t xml:space="preserve">Profesjonalne Data Center musi zapewniać swoim klientom nie tylko dostęp do najnowszych technologii i rozwiązań, ale przede wszystkim poczucie bezpieczeństwa. W związku z tym, cały budynek oraz </w:t>
      </w:r>
      <w:r>
        <w:t>teren wokół niego obserwowany jest przez kamery telewizji przemysłowej, a obraz zapisywany na nośnikach danych, przetrzymywanych przez 30 dni. Oprócz tego całodobowa ochrona wyspecjalizowanej agencji, uzupełniona przez rozbudowany system antywłamaniowy daj</w:t>
      </w:r>
      <w:r>
        <w:t>e Państwu gwarancję bezpieczeństwa i „spokojny sen”.</w:t>
      </w:r>
    </w:p>
    <w:p w:rsidR="0087020C" w:rsidRDefault="0087020C"/>
    <w:p w:rsidR="0087020C" w:rsidRDefault="00A3460A">
      <w:r>
        <w:pict>
          <v:shape id="_x0000_i1032" type="#_x0000_t75" alt="/download/attachments/243480637/image2015-3-10%2011%3A53%3A22.png?version=1&amp;modificationDate=1425984881000&amp;api=v2" style="width:453.75pt;height:312pt" o:allowoverlap="f">
            <v:imagedata r:id="rId15" o:title=""/>
          </v:shape>
        </w:pict>
      </w:r>
    </w:p>
    <w:p w:rsidR="0087020C" w:rsidRDefault="0087020C"/>
    <w:p w:rsidR="0087020C" w:rsidRDefault="00A3460A">
      <w:r>
        <w:t>Budynek został zbudowany w Skawinie, w odległości 1km od obwodnicy Krakowa, w strefie przemysłowej, która stała się również terenem inwestycji dla takich firm jak Volvo, Delphi czy Valeo. Położenie n</w:t>
      </w:r>
      <w:r>
        <w:t xml:space="preserve">a wzniesieniu w bezpiecznej strefie, z dala od zagrożeń naturalnych (np. powodzie, szkody górnicze itp.) oraz komunikacyjnych </w:t>
      </w:r>
      <w:r>
        <w:lastRenderedPageBreak/>
        <w:t>(100 m od drogi krajowej i 800 m od torów kolejowych) minimalizuje niebezpieczeństwa mogące wystąpić z tej strony. Bardzo ważną ce</w:t>
      </w:r>
      <w:r>
        <w:t>chą obiektu jest fakt, że znajduje on się na 5 hektarowej, ogrodzonej działce w całości należącej do firmy POLCOM. Posadowienie na tak dużej działce zabezpiecza obiekt przed nieprzewidzianym zagrożeniem mogącym wystąpić ze strony sąsiadujących obiektów. Gw</w:t>
      </w:r>
      <w:r>
        <w:t>arantuje to również stabilność właścicielską oraz możliwość dalszego rozwoju.</w:t>
      </w:r>
    </w:p>
    <w:p w:rsidR="0087020C" w:rsidRDefault="00A3460A">
      <w:r>
        <w:t>Od strony komunikacyjnej zapewniony jest szybki i niezawodny dojazd dwoma drogami. Bliskość autostrady A4 (1 km) i portu lotniczego Kraków - Balice (10 km) umożliwia łatwy i szyb</w:t>
      </w:r>
      <w:r>
        <w:t>ki dostęp z dalszych rejonów kraju i świata.</w:t>
      </w:r>
    </w:p>
    <w:p w:rsidR="0087020C" w:rsidRDefault="0087020C"/>
    <w:p w:rsidR="0087020C" w:rsidRDefault="00A3460A">
      <w:pPr>
        <w:numPr>
          <w:ilvl w:val="0"/>
          <w:numId w:val="16"/>
        </w:numPr>
      </w:pPr>
      <w:r>
        <w:t>Całodobowa ochrona fizyczna.</w:t>
      </w:r>
    </w:p>
    <w:p w:rsidR="0087020C" w:rsidRDefault="00A3460A">
      <w:pPr>
        <w:numPr>
          <w:ilvl w:val="0"/>
          <w:numId w:val="16"/>
        </w:numPr>
      </w:pPr>
      <w:r>
        <w:t>Rozbudowany system kontroli dostępu i antywłamaniowy.</w:t>
      </w:r>
    </w:p>
    <w:p w:rsidR="0087020C" w:rsidRDefault="00A3460A">
      <w:pPr>
        <w:numPr>
          <w:ilvl w:val="0"/>
          <w:numId w:val="16"/>
        </w:numPr>
      </w:pPr>
      <w:r>
        <w:t>System telewizji dozorowej.</w:t>
      </w:r>
    </w:p>
    <w:p w:rsidR="0087020C" w:rsidRDefault="00A3460A">
      <w:pPr>
        <w:numPr>
          <w:ilvl w:val="0"/>
          <w:numId w:val="16"/>
        </w:numPr>
      </w:pPr>
      <w:r>
        <w:t>Wydzielone strefy pożarowe o odporności ogniowej EI90.</w:t>
      </w:r>
    </w:p>
    <w:p w:rsidR="0087020C" w:rsidRDefault="00A3460A">
      <w:pPr>
        <w:numPr>
          <w:ilvl w:val="0"/>
          <w:numId w:val="16"/>
        </w:numPr>
      </w:pPr>
      <w:r>
        <w:t>Wykrywanie pożaru oparte na systemie wczesne</w:t>
      </w:r>
      <w:r>
        <w:t>j detekcji dymu.</w:t>
      </w:r>
    </w:p>
    <w:p w:rsidR="0087020C" w:rsidRDefault="00A3460A">
      <w:pPr>
        <w:numPr>
          <w:ilvl w:val="0"/>
          <w:numId w:val="16"/>
        </w:numPr>
      </w:pPr>
      <w:r>
        <w:t>System gaszenia gazem neutralnym dla ludzi, sprzętu i środowiska.</w:t>
      </w:r>
    </w:p>
    <w:p w:rsidR="0087020C" w:rsidRDefault="00A3460A">
      <w:pPr>
        <w:numPr>
          <w:ilvl w:val="0"/>
          <w:numId w:val="16"/>
        </w:numPr>
      </w:pPr>
      <w:r>
        <w:t>System monitorowania budynku (BMS) kontrolujący pracę wszystkich urządzeń w centrum danych.</w:t>
      </w:r>
    </w:p>
    <w:p w:rsidR="0087020C" w:rsidRDefault="00A3460A">
      <w:pPr>
        <w:numPr>
          <w:ilvl w:val="0"/>
          <w:numId w:val="16"/>
        </w:numPr>
      </w:pPr>
      <w:r>
        <w:t>Wdrożone i weryfikowane procedury bezpieczeństwa obejmujące zasady wstępu do cent</w:t>
      </w:r>
      <w:r>
        <w:t>rum danych i reagowania na incydenty.</w:t>
      </w:r>
    </w:p>
    <w:p w:rsidR="0087020C" w:rsidRDefault="0087020C"/>
    <w:p w:rsidR="0087020C" w:rsidRDefault="00A3460A">
      <w:pPr>
        <w:pStyle w:val="Nagwek2"/>
      </w:pPr>
      <w:bookmarkStart w:id="24" w:name="_Toc256000010"/>
      <w:bookmarkStart w:id="25" w:name="scroll-bookmark-11"/>
      <w:r>
        <w:t>Ochrona przeciwpożarowa</w:t>
      </w:r>
      <w:bookmarkEnd w:id="24"/>
      <w:bookmarkEnd w:id="25"/>
    </w:p>
    <w:p w:rsidR="0087020C" w:rsidRDefault="0087020C"/>
    <w:p w:rsidR="0087020C" w:rsidRDefault="00A3460A">
      <w:r>
        <w:lastRenderedPageBreak/>
        <w:pict>
          <v:shape id="_x0000_i1033" type="#_x0000_t75" alt="/download/attachments/243480637/image2015-3-10%2011%3A53%3A32.png?version=1&amp;modificationDate=1425984881000&amp;api=v2" style="width:433.5pt;height:272.25pt" o:allowoverlap="f">
            <v:imagedata r:id="rId16" o:title=""/>
          </v:shape>
        </w:pict>
      </w:r>
    </w:p>
    <w:p w:rsidR="0087020C" w:rsidRDefault="0087020C"/>
    <w:p w:rsidR="0087020C" w:rsidRDefault="00A3460A">
      <w:r>
        <w:t>Ochrona pasywna</w:t>
      </w:r>
    </w:p>
    <w:p w:rsidR="0087020C" w:rsidRDefault="00A3460A">
      <w:pPr>
        <w:numPr>
          <w:ilvl w:val="0"/>
          <w:numId w:val="17"/>
        </w:numPr>
      </w:pPr>
      <w:r>
        <w:t>Wszystkie ściany, przegrody posiadają co najmniej odporność ogniową REI90  (90 min szczelność i izolacyjność przegród).</w:t>
      </w:r>
    </w:p>
    <w:p w:rsidR="0087020C" w:rsidRDefault="00A3460A">
      <w:pPr>
        <w:numPr>
          <w:ilvl w:val="0"/>
          <w:numId w:val="17"/>
        </w:numPr>
      </w:pPr>
      <w:r>
        <w:t>Wszystkie drzwi ognioodporne z klasą EI60.</w:t>
      </w:r>
    </w:p>
    <w:p w:rsidR="0087020C" w:rsidRDefault="00A3460A">
      <w:r>
        <w:t xml:space="preserve">Ochrona </w:t>
      </w:r>
      <w:r>
        <w:t>aktywna</w:t>
      </w:r>
    </w:p>
    <w:p w:rsidR="0087020C" w:rsidRDefault="00A3460A">
      <w:pPr>
        <w:numPr>
          <w:ilvl w:val="0"/>
          <w:numId w:val="18"/>
        </w:numPr>
      </w:pPr>
      <w:r>
        <w:t>Do wykrywania pożaru zastosowano wyłącznie system wczesnej detekcji dymu. Jako jedni z nielicznych wykorzystujemy sygnały z systemu wczesnej detekcji dymu do wysterowania systemu gaśniczego.</w:t>
      </w:r>
    </w:p>
    <w:p w:rsidR="0087020C" w:rsidRDefault="00A3460A">
      <w:pPr>
        <w:numPr>
          <w:ilvl w:val="0"/>
          <w:numId w:val="18"/>
        </w:numPr>
      </w:pPr>
      <w:r>
        <w:t>W serwerowni został zainstalowany system gaszenia gazem n</w:t>
      </w:r>
      <w:r>
        <w:t>eutralnym dla ludzi, sprzętu i środowiska. Jest to jedyna serwerownia w Polsce posiadająca redundantny system gaśniczy, co pozwala zawsze zachować pełną ochronę przeciwpożarową obiektu.</w:t>
      </w:r>
    </w:p>
    <w:p w:rsidR="0087020C" w:rsidRDefault="00A3460A">
      <w:pPr>
        <w:numPr>
          <w:ilvl w:val="0"/>
          <w:numId w:val="18"/>
        </w:numPr>
      </w:pPr>
      <w:r>
        <w:t>Na etapie projektowania systemu gaśniczego zwróciliśmy szczególna uwag</w:t>
      </w:r>
      <w:r>
        <w:t>ę na ochronę danych w szczególności zapisywanych na dyskach twardych. W efekcie tych działań zredukowaliśmy zagrożenie związane z ciśnieniem na dyszach wylotowych, szokiem termicznym i falą akustyczną występującą podczas zrzutu gazu. Zastosowane rozwiązani</w:t>
      </w:r>
      <w:r>
        <w:t>e jest nie tylko innowacyjne, ale również posiadamy je zastosowane, jako jedyni w Polsce, a co najważniejsze gwarantuje pełne bezpieczeństwo danych nawet w takich okolicznościach jak akcja gaśnicza.</w:t>
      </w:r>
    </w:p>
    <w:p w:rsidR="0087020C" w:rsidRDefault="0087020C"/>
    <w:p w:rsidR="0087020C" w:rsidRDefault="00A3460A">
      <w:pPr>
        <w:pStyle w:val="Nagwek2"/>
      </w:pPr>
      <w:bookmarkStart w:id="26" w:name="_Toc256000011"/>
      <w:bookmarkStart w:id="27" w:name="scroll-bookmark-12"/>
      <w:r>
        <w:lastRenderedPageBreak/>
        <w:t>Ochrona fizyczna</w:t>
      </w:r>
      <w:bookmarkEnd w:id="26"/>
      <w:bookmarkEnd w:id="27"/>
    </w:p>
    <w:p w:rsidR="0087020C" w:rsidRDefault="00A3460A">
      <w:r>
        <w:t xml:space="preserve">Podstawę ochrony stanowi całodobowa </w:t>
      </w:r>
      <w:r>
        <w:t>obecność fizyczna personelu Data Center i wyspecjalizowanej agencji ochrony uzupełniona przez rozbudowany system antywłamaniowy i system telewizji dozorowej. Nowoczesny, wielopoziomowy system kontroli dostępu oraz wydzielone strefy wewnętrzne zabezpieczają</w:t>
      </w:r>
      <w:r>
        <w:t xml:space="preserve"> przed dostępem osób nieuprawnionych. POLCOM wdrożył i okresowo weryfikuje procedury bezpieczeństwa obejmujące zasady wstępu do centrum danych i reagowania na incydenty.</w:t>
      </w:r>
    </w:p>
    <w:p w:rsidR="0087020C" w:rsidRDefault="00A3460A">
      <w:r>
        <w:t>W dniu 11.02.2010 r. firma POLCOM uzyskała krajowe Świadectwo Bezpieczeństwa Przemysło</w:t>
      </w:r>
      <w:r>
        <w:t>wego II stopnia oraz Świadectwo Bezpieczeństwa Przemysłowego II stopnia Unia Secret i NATO Secret. Przyznane certyfikaty zwiększają wiarygodność firmy oraz gwarantują wysoki poziom bezpieczeństwa danych.</w:t>
      </w:r>
    </w:p>
    <w:p w:rsidR="0087020C" w:rsidRDefault="0087020C"/>
    <w:p w:rsidR="0087020C" w:rsidRDefault="00A3460A">
      <w:pPr>
        <w:pStyle w:val="Nagwek2"/>
      </w:pPr>
      <w:bookmarkStart w:id="28" w:name="_Toc256000012"/>
      <w:bookmarkStart w:id="29" w:name="scroll-bookmark-13"/>
      <w:r>
        <w:t>Infrastruktura teleinformatyczna</w:t>
      </w:r>
      <w:bookmarkEnd w:id="28"/>
      <w:bookmarkEnd w:id="29"/>
    </w:p>
    <w:p w:rsidR="0087020C" w:rsidRDefault="0087020C"/>
    <w:p w:rsidR="0087020C" w:rsidRDefault="00A3460A">
      <w:pPr>
        <w:numPr>
          <w:ilvl w:val="0"/>
          <w:numId w:val="19"/>
        </w:numPr>
      </w:pPr>
      <w:r>
        <w:t xml:space="preserve">Łącza od różnych </w:t>
      </w:r>
      <w:r>
        <w:t>operatorów: TP S.A., Netia, TK Telekom, Level 3; Thelia-Sonera, etc.</w:t>
      </w:r>
    </w:p>
    <w:p w:rsidR="0087020C" w:rsidRDefault="00A3460A">
      <w:pPr>
        <w:numPr>
          <w:ilvl w:val="0"/>
          <w:numId w:val="19"/>
        </w:numPr>
      </w:pPr>
      <w:r>
        <w:t>3 niezależne trasy podejścia kabli światłowodowych do budynku i poprowadzone do różnych punktów wymiany ruchu pomiędzy operatorami,</w:t>
      </w:r>
    </w:p>
    <w:p w:rsidR="0087020C" w:rsidRDefault="00A3460A">
      <w:pPr>
        <w:numPr>
          <w:ilvl w:val="0"/>
          <w:numId w:val="19"/>
        </w:numPr>
      </w:pPr>
      <w:r>
        <w:t>Dostęp do PLIX’a i DECIX’a niezależnymi trasami</w:t>
      </w:r>
    </w:p>
    <w:p w:rsidR="0087020C" w:rsidRDefault="00A3460A">
      <w:pPr>
        <w:numPr>
          <w:ilvl w:val="0"/>
          <w:numId w:val="19"/>
        </w:numPr>
      </w:pPr>
      <w:r>
        <w:t>Dwie re</w:t>
      </w:r>
      <w:r>
        <w:t>dundantne krosownice.</w:t>
      </w:r>
    </w:p>
    <w:p w:rsidR="0087020C" w:rsidRDefault="00A3460A">
      <w:pPr>
        <w:numPr>
          <w:ilvl w:val="0"/>
          <w:numId w:val="19"/>
        </w:numPr>
      </w:pPr>
      <w:r>
        <w:t>Redundantne trasy prowadzenia łączy do każdej komory.</w:t>
      </w:r>
    </w:p>
    <w:p w:rsidR="0087020C" w:rsidRDefault="00A3460A">
      <w:pPr>
        <w:numPr>
          <w:ilvl w:val="0"/>
          <w:numId w:val="19"/>
        </w:numPr>
      </w:pPr>
      <w:r>
        <w:t>Protokół routingu dynamicznego BGP, własna adresacja IP i AS</w:t>
      </w:r>
    </w:p>
    <w:p w:rsidR="0087020C" w:rsidRDefault="00A3460A">
      <w:pPr>
        <w:numPr>
          <w:ilvl w:val="0"/>
          <w:numId w:val="19"/>
        </w:numPr>
      </w:pPr>
      <w:r>
        <w:t>Klaster firewalli poza podstawową ochrona umożliwia konfigurację dowolnych reguł dla klienta.</w:t>
      </w:r>
    </w:p>
    <w:p w:rsidR="0087020C" w:rsidRDefault="00A3460A">
      <w:pPr>
        <w:numPr>
          <w:ilvl w:val="0"/>
          <w:numId w:val="19"/>
        </w:numPr>
      </w:pPr>
      <w:r>
        <w:t>System Detekcji i przeciw</w:t>
      </w:r>
      <w:r>
        <w:t>działania włamaniom (Intrusion Prevention System).</w:t>
      </w:r>
    </w:p>
    <w:p w:rsidR="0087020C" w:rsidRDefault="00A3460A">
      <w:pPr>
        <w:numPr>
          <w:ilvl w:val="0"/>
          <w:numId w:val="19"/>
        </w:numPr>
      </w:pPr>
      <w:r>
        <w:t>Redundantne routery dostępowe.</w:t>
      </w:r>
    </w:p>
    <w:p w:rsidR="0087020C" w:rsidRDefault="00A3460A">
      <w:pPr>
        <w:numPr>
          <w:ilvl w:val="0"/>
          <w:numId w:val="19"/>
        </w:numPr>
      </w:pPr>
      <w:r>
        <w:t>Monitoring, serwis i zarządzania całym systemem w trybie 24/7.</w:t>
      </w:r>
    </w:p>
    <w:p w:rsidR="0087020C" w:rsidRDefault="00A3460A">
      <w:pPr>
        <w:numPr>
          <w:ilvl w:val="0"/>
          <w:numId w:val="19"/>
        </w:numPr>
      </w:pPr>
      <w:r>
        <w:t>Możliwe uruchomienie systemy przeciwdziałania atakom DoS i DDoS na poziomie operatora.</w:t>
      </w:r>
    </w:p>
    <w:p w:rsidR="0087020C" w:rsidRDefault="00A3460A">
      <w:pPr>
        <w:numPr>
          <w:ilvl w:val="0"/>
          <w:numId w:val="19"/>
        </w:numPr>
      </w:pPr>
      <w:r>
        <w:t>Możliwe udostępnienie us</w:t>
      </w:r>
      <w:r>
        <w:t>ługi Content Delivery Network przyspieszający dostęp klientom do zasobów udostępnianych w Internecie wykorzystujący „magazynowanie” treści bezpośrednio w węzłach operatora, skraca to drogę użytkownika do serwisów.</w:t>
      </w:r>
    </w:p>
    <w:p w:rsidR="0087020C" w:rsidRDefault="0087020C"/>
    <w:p w:rsidR="0087020C" w:rsidRDefault="00A3460A">
      <w:r>
        <w:lastRenderedPageBreak/>
        <w:pict>
          <v:shape id="_x0000_i1034" type="#_x0000_t75" alt="/download/attachments/243480637/image2015-3-10%2011%3A54%3A10.png?version=1&amp;modificationDate=1425984881000&amp;api=v2" style="width:453.75pt;height:300.75pt" o:allowoverlap="f">
            <v:imagedata r:id="rId17" o:title=""/>
          </v:shape>
        </w:pict>
      </w:r>
    </w:p>
    <w:p w:rsidR="0087020C" w:rsidRDefault="0087020C"/>
    <w:p w:rsidR="0087020C" w:rsidRDefault="00A3460A">
      <w:pPr>
        <w:pStyle w:val="Nagwek2"/>
      </w:pPr>
      <w:bookmarkStart w:id="30" w:name="_Toc256000013"/>
      <w:bookmarkStart w:id="31" w:name="scroll-bookmark-14"/>
      <w:r>
        <w:t>Monitoring</w:t>
      </w:r>
      <w:bookmarkEnd w:id="30"/>
      <w:bookmarkEnd w:id="31"/>
    </w:p>
    <w:p w:rsidR="0087020C" w:rsidRDefault="00A3460A">
      <w:r>
        <w:t>POLCOM Data Center jest nad</w:t>
      </w:r>
      <w:r>
        <w:t>zorowane całodobowo przez wykwalifikowanych operatorów przez 365 dni w roku. W całym obiekcie usytuowane są czujniki monitorujące parametry środowiskowe w jakich znajdują się serwery (temperatura, wilgotność) oraz analizatory badające stan i jakość dostarc</w:t>
      </w:r>
      <w:r>
        <w:t xml:space="preserve">zonych mediów (prąd, łącza telekomunikacyjne). Serce systemu monitoringu stanowi innowacyjny system </w:t>
      </w:r>
      <w:r>
        <w:rPr>
          <w:b/>
        </w:rPr>
        <w:t>BMS</w:t>
      </w:r>
      <w:r>
        <w:t xml:space="preserve"> – Builging Management System. Nie jest to typowy, gotowy produkt kupiony u producenta, przeznaczony do monitorowania budynków (przeważnie biurowych) lec</w:t>
      </w:r>
      <w:r>
        <w:t>z opracowany od podstaw system do monitorowania obiektu Data Center. Cała automatyka i powiązana z nią SCADA została zaprogramowana przez inżynierów POLCOM pod kątem bezpieczeństwa i optymalizacji pracy Serwerowni.</w:t>
      </w:r>
    </w:p>
    <w:p w:rsidR="0087020C" w:rsidRDefault="00A3460A">
      <w:r>
        <w:t>Na uwagę zasługują również innowacyjne ro</w:t>
      </w:r>
      <w:r>
        <w:t>związania zastosowane w biurowcu POLCOM polegające na wykorzystaniu telefonii IP do sterowania oświetleniem i klimatyzacją.</w:t>
      </w:r>
    </w:p>
    <w:p w:rsidR="0087020C" w:rsidRDefault="0087020C"/>
    <w:p w:rsidR="0087020C" w:rsidRDefault="00A3460A">
      <w:r>
        <w:t>Cały obiekt i teren wokół niego jest obserwowany przez kamery telewizji przemysłowej. Obraz z kamer zapisywany jest na nośnikach da</w:t>
      </w:r>
      <w:r>
        <w:t xml:space="preserve">nych i przechowywany, przez co najmniej 30 dni. Zastosowanie technologii IP pozwala nie </w:t>
      </w:r>
      <w:r>
        <w:lastRenderedPageBreak/>
        <w:t>tylko na łatwą archiwizację, ale również łatwe udostępniane poszczególnych obrazów odpowiednim służbom (np. ochronie) lub klientowi.</w:t>
      </w:r>
    </w:p>
    <w:p w:rsidR="0087020C" w:rsidRDefault="00A3460A">
      <w:r>
        <w:t>W trosce, o jakość i bezpieczeństwo</w:t>
      </w:r>
      <w:r>
        <w:t xml:space="preserve"> oferowanych przez nas usług firma nasza wdrożyła i certyfikowała:</w:t>
      </w:r>
    </w:p>
    <w:p w:rsidR="0087020C" w:rsidRDefault="00A3460A">
      <w:pPr>
        <w:numPr>
          <w:ilvl w:val="0"/>
          <w:numId w:val="20"/>
        </w:numPr>
      </w:pPr>
      <w:r>
        <w:t xml:space="preserve">system zarządzania jakością zgodny w wymogami normy PN-EN ISO 9001:2009 (data wydania pierwszego certyfikatu: 08.06.2007, numer certyfikatu aktualnego HU 10/5043, wydany przez SGS United </w:t>
      </w:r>
      <w:r>
        <w:t>Kingdom Ltd Systems &amp; Services Certyfications)</w:t>
      </w:r>
    </w:p>
    <w:p w:rsidR="0087020C" w:rsidRDefault="00A3460A">
      <w:pPr>
        <w:numPr>
          <w:ilvl w:val="0"/>
          <w:numId w:val="20"/>
        </w:numPr>
      </w:pPr>
      <w:r>
        <w:t>oraz system bezpieczeństwa informacji zgodny w wymogami normy PN-ISO/IEC 27001 (data wydania pierwszego certyfikatu: 20.12.2011, numer certyfikatu aktualnego, wydany przez SGS United Kingdom Ltd Systems &amp; Serv</w:t>
      </w:r>
      <w:r>
        <w:t>ices Certyfications).</w:t>
      </w:r>
    </w:p>
    <w:p w:rsidR="0087020C" w:rsidRDefault="00A3460A">
      <w:r>
        <w:t>Systemem jakości oraz systemem zarządzania bezpieczeństwa informacji objęta jest cała firma Polcom w szczególności jej siedziba mieszcząca się w Skawinie przy ul. Krakowskiej 43 oraz jej infrastruktura. Systemom podlega Zarząd firmy o</w:t>
      </w:r>
      <w:r>
        <w:t>raz wszyscy pracownicy i poddostawcy w określonym w dokumentach systemowych zakresie.</w:t>
      </w:r>
    </w:p>
    <w:p w:rsidR="0087020C" w:rsidRDefault="00A3460A">
      <w:r>
        <w:t>Celem funkcjonowania w/w systemów jest m. in. zapewnienie odpowiedniej jakości oferowanych przez firmę usług, zabezpieczenie aktywów Polcom w postaci własności intelektua</w:t>
      </w:r>
      <w:r>
        <w:t>lnej, infrastruktury, baz danych własnych i klientów, informacji dotyczących funkcjonowania firmy i jej klientów.</w:t>
      </w:r>
    </w:p>
    <w:p w:rsidR="0087020C" w:rsidRDefault="00A3460A">
      <w:r>
        <w:t xml:space="preserve">W celu monitorowania skuteczności funkcjonowania systemem jakości oraz systemem zarządzania bezpieczeństwa informacji wykonywane są regularne </w:t>
      </w:r>
      <w:r>
        <w:t>przeglądy systemów (w tym zgodność z polityką i celami oraz przeglądy zabezpieczeń), biorąc pod uwagę wyniki audytów wewnętrznych, incydentów, rezultatów pomiarów skuteczności, sugestii oraz informacji zwrotnych od wszystkich zainteresowanych stron.</w:t>
      </w:r>
    </w:p>
    <w:p w:rsidR="0087020C" w:rsidRDefault="00A3460A">
      <w:r>
        <w:t>W celu</w:t>
      </w:r>
      <w:r>
        <w:t xml:space="preserve"> natychmiastowego wykrycia błędów, identyfikowania niezgodności, naruszeń bezpieczeństwa i incydentów w sposób ciągły systemy są monitorowane i w przypadku konieczności podejmowane są odpowiednie działania zmierzające do minimalizowania skutków wystąpienia</w:t>
      </w:r>
      <w:r>
        <w:t xml:space="preserve"> ew. niezgodności.</w:t>
      </w:r>
    </w:p>
    <w:p w:rsidR="0087020C" w:rsidRDefault="00A3460A">
      <w:r>
        <w:t>O wszelkich sprawach związanych z naruszeniem bezpieczeństwa informowany jest Zarząd firmy w postaci raportów.</w:t>
      </w:r>
    </w:p>
    <w:p w:rsidR="0087020C" w:rsidRDefault="0087020C"/>
    <w:p w:rsidR="0087020C" w:rsidRDefault="00A3460A">
      <w:pPr>
        <w:pStyle w:val="Nagwek1"/>
      </w:pPr>
      <w:bookmarkStart w:id="32" w:name="_Toc256000014"/>
      <w:bookmarkStart w:id="33" w:name="scroll-bookmark-15"/>
      <w:r>
        <w:t>Kolokacja</w:t>
      </w:r>
      <w:bookmarkEnd w:id="32"/>
      <w:bookmarkEnd w:id="33"/>
    </w:p>
    <w:p w:rsidR="0087020C" w:rsidRDefault="00A3460A">
      <w:r>
        <w:t>Kolokacja jest usługą polegającą na udostępnieniu klientowi wydzielonej powierzchni technicznej serwerowni wraz z n</w:t>
      </w:r>
      <w:r>
        <w:t xml:space="preserve">iezbędną infrastrukturą telekomunikacyjną, w celu umieszczenia w niej serwerów lub innych urządzeń teleinformatycznych należących do klienta. Oferujemy powierzchnię techniczną z zapewnionym zasilaniem </w:t>
      </w:r>
      <w:r>
        <w:lastRenderedPageBreak/>
        <w:t>podstawowym, awaryjnym i podtrzymaniem UPS, klimatyzacj</w:t>
      </w:r>
      <w:r>
        <w:t>ą, fizyczną ochroną dostępu, bezpieczeństwem. Oferujemy dużą elastyczność w doborze parametrów usługi, dzięki czemu klient ma możliwość wyboru kombinacji najbardziej odpowiadającej jego potrzebom.</w:t>
      </w:r>
    </w:p>
    <w:p w:rsidR="0087020C" w:rsidRDefault="00A3460A">
      <w:r>
        <w:t xml:space="preserve">Udostępniona przestrzeń – w postaci w pełni wyposażonych i </w:t>
      </w:r>
      <w:r>
        <w:t>zabezpieczonych dwóch szaf 47U będzie stanowić Serwerownię Główną (CDP1).</w:t>
      </w:r>
    </w:p>
    <w:p w:rsidR="0087020C" w:rsidRDefault="00A3460A">
      <w:r>
        <w:t>Szafy rack o szerokości 600mm (na urządzenia 19”) i wysokość 47U. Maksymalny rozstaw szyn mocujących wynosi 820mm (długość urządzenia). Istnieje możliwość montażu organizerów zarówno</w:t>
      </w:r>
      <w:r>
        <w:t xml:space="preserve"> poziomych jak i pionowych. Drzwi szafy rackowej z blachy perforowanej w celu ułatwienie przepływu powietrza. Drzwi zamykane na klucz.</w:t>
      </w:r>
    </w:p>
    <w:p w:rsidR="0087020C" w:rsidRDefault="00A3460A">
      <w:r>
        <w:t>Specyfikacja sprzętu, który zostanie zainstalowany na wynajmowanej powierzchni:</w:t>
      </w:r>
    </w:p>
    <w:p w:rsidR="0087020C" w:rsidRDefault="00A3460A">
      <w:pPr>
        <w:numPr>
          <w:ilvl w:val="0"/>
          <w:numId w:val="21"/>
        </w:numPr>
      </w:pPr>
      <w:r>
        <w:t>1 szafa serwerowe 47Ux600x1000 z wyposaże</w:t>
      </w:r>
      <w:r>
        <w:t>niem,</w:t>
      </w:r>
    </w:p>
    <w:p w:rsidR="0087020C" w:rsidRDefault="00A3460A">
      <w:pPr>
        <w:numPr>
          <w:ilvl w:val="0"/>
          <w:numId w:val="21"/>
        </w:numPr>
      </w:pPr>
      <w:r>
        <w:t>1 szafa telekomunikacyjna 47Ux600x800.</w:t>
      </w:r>
    </w:p>
    <w:p w:rsidR="0087020C" w:rsidRDefault="00A3460A">
      <w:pPr>
        <w:numPr>
          <w:ilvl w:val="0"/>
          <w:numId w:val="21"/>
        </w:numPr>
      </w:pPr>
      <w:r>
        <w:t>Łączny pobór mocy wszystkich szaf to ok. 20 kW.</w:t>
      </w:r>
    </w:p>
    <w:p w:rsidR="0087020C" w:rsidRDefault="00A3460A">
      <w:r>
        <w:t>W celu zapewnienia komunikacji pomiędzy serwerownią główną i zapasową, wykonane zostaną łącza światłowodowe w technologii Ethernet, typu punkt-punkt (ZDW Kraków, u</w:t>
      </w:r>
      <w:r>
        <w:t xml:space="preserve">l. Głowackiego - Polcom, Skawina, ul. Krakowska 43). Łącza dostarczone będą od trzech niezależnych operatorów. Każdy z nich zapewni po 2 łącza biegnące dwoma niezależnymi drogami. Sposób rozprowadzenia okablowania po stronie ZDW wymaga uszczegółowienia po </w:t>
      </w:r>
      <w:r>
        <w:t>przeprowadzonej wcześniej wizji lokalnej terenu.</w:t>
      </w:r>
    </w:p>
    <w:p w:rsidR="0087020C" w:rsidRDefault="00A3460A">
      <w:r>
        <w:t xml:space="preserve">Po stronie Polcom, przyłącza poprowadzone będzie z dwóch stron budynku. Zakończone w formie dwóch przyłącznic do dwóch niezależnych pomieszczeń służących jako punkt dystrybucyjny dla ruchu </w:t>
      </w:r>
      <w:r>
        <w:t>telekomunikacyjnego, skąd poprowadzone zostają dwoma niezależnymi torami do szaf.</w:t>
      </w:r>
    </w:p>
    <w:p w:rsidR="0087020C" w:rsidRDefault="0087020C"/>
    <w:p w:rsidR="0087020C" w:rsidRDefault="00A3460A">
      <w:r>
        <w:lastRenderedPageBreak/>
        <w:pict>
          <v:shape id="_x0000_i1035" type="#_x0000_t75" alt="/download/attachments/243480653/image2015-3-10%2011%3A56%3A29.png?version=1&amp;modificationDate=1425985009000&amp;api=v2" style="width:249pt;height:247.5pt" o:allowoverlap="f">
            <v:imagedata r:id="rId18" o:title=""/>
          </v:shape>
        </w:pict>
      </w:r>
      <w:r>
        <w:pict>
          <v:shape id="_x0000_i1036" type="#_x0000_t75" alt="/download/attachments/243480653/image2015-3-10%2011%3A56%3A35.png?version=1&amp;modificationDate=1425985010000&amp;api=v2" style="width:197.25pt;height:248.25pt" o:allowoverlap="f">
            <v:imagedata r:id="rId19" o:title=""/>
          </v:shape>
        </w:pict>
      </w:r>
    </w:p>
    <w:p w:rsidR="0087020C" w:rsidRDefault="0087020C"/>
    <w:p w:rsidR="0087020C" w:rsidRDefault="00A3460A">
      <w:pPr>
        <w:pStyle w:val="Nagwek1"/>
      </w:pPr>
      <w:bookmarkStart w:id="34" w:name="_Toc256000015"/>
      <w:bookmarkStart w:id="35" w:name="scroll-bookmark-16"/>
      <w:r>
        <w:t>Lokalizacja</w:t>
      </w:r>
      <w:bookmarkEnd w:id="34"/>
      <w:bookmarkEnd w:id="35"/>
    </w:p>
    <w:p w:rsidR="0087020C" w:rsidRDefault="00A3460A">
      <w:r>
        <w:t>Serwerownia główna CPD1 zostanie zlokalizowana w ośrodku przechowywania i przetwarzania danych zlokalizowanym w Skawinie przy ulicy Krakowskiej 43.</w:t>
      </w:r>
    </w:p>
    <w:p w:rsidR="0087020C" w:rsidRDefault="0087020C"/>
    <w:p w:rsidR="0087020C" w:rsidRDefault="00B94B6C">
      <w:r>
        <w:pict>
          <v:shape id="_x0000_i1037" type="#_x0000_t75" alt="/download/attachments/243480554/image2015-3-10%2011%3A39%3A38.png?version=1&amp;modificationDate=1425984050000&amp;api=v2" style="width:453.75pt;height:231pt" o:allowoverlap="f">
            <v:imagedata r:id="rId20" o:title=""/>
          </v:shape>
        </w:pict>
      </w:r>
    </w:p>
    <w:p w:rsidR="0087020C" w:rsidRDefault="0087020C"/>
    <w:p w:rsidR="0087020C" w:rsidRDefault="00A3460A">
      <w:pPr>
        <w:pStyle w:val="Nagwek2"/>
      </w:pPr>
      <w:bookmarkStart w:id="36" w:name="_Toc256000016"/>
      <w:bookmarkStart w:id="37" w:name="scroll-bookmark-17"/>
      <w:r>
        <w:lastRenderedPageBreak/>
        <w:t>Opis</w:t>
      </w:r>
      <w:bookmarkEnd w:id="36"/>
      <w:bookmarkEnd w:id="37"/>
    </w:p>
    <w:p w:rsidR="0087020C" w:rsidRDefault="00A3460A">
      <w:r>
        <w:t>POLCOM Data Center</w:t>
      </w:r>
      <w:r>
        <w:rPr>
          <w:b/>
        </w:rPr>
        <w:t xml:space="preserve"> </w:t>
      </w:r>
      <w:r>
        <w:t xml:space="preserve">to jedno z najnowocześniejszych i największych w Polsce południowej centrów przetwarzania i przechowywania danych, które zapewnia niezawodność na najwyższym poziomie tj. TIER IV. Jest to pierwszy tego typu obiekt, który w całości został </w:t>
      </w:r>
      <w:r>
        <w:t>zaprojektowany i zbudowany, jako obiekt z założenia pełniący rolę Centrum Przetwarzania Danych.</w:t>
      </w:r>
    </w:p>
    <w:p w:rsidR="0087020C" w:rsidRDefault="0087020C"/>
    <w:p w:rsidR="0087020C" w:rsidRDefault="00B94B6C">
      <w:r>
        <w:pict>
          <v:shape id="_x0000_i1038" type="#_x0000_t75" alt="/download/attachments/243480554/image2015-3-10%2011%3A40%3A8.png?version=1&amp;modificationDate=1425984050000&amp;api=v2" style="width:453pt;height:302.25pt" o:allowoverlap="f">
            <v:imagedata r:id="rId21" o:title=""/>
          </v:shape>
        </w:pict>
      </w:r>
    </w:p>
    <w:p w:rsidR="0087020C" w:rsidRDefault="0087020C"/>
    <w:p w:rsidR="0087020C" w:rsidRDefault="00A3460A">
      <w:r>
        <w:t>Obiekt posiada powierzchnię użytkową prawie 6 000 m2 i podzielony został na część biurową oraz wzmocnioną bryłę serwerowi z sześcioma komorami wewnątrz, ded</w:t>
      </w:r>
      <w:r>
        <w:t>ykowanymi dla urządzeń IT.</w:t>
      </w:r>
    </w:p>
    <w:p w:rsidR="0087020C" w:rsidRDefault="00A3460A">
      <w:r>
        <w:t xml:space="preserve">W pierwszej części obiektu świadczone są m.in. usługi związane z zapewnieniem klientom ciągłości funkcjonowania oddziałów również Disaster Recovery Office na ok 200 stanowisk, serwerownia natomiast jest obszarem przeznaczonym do </w:t>
      </w:r>
      <w:r>
        <w:t>świadczenia specjalistycznych usług outsourcingowych.</w:t>
      </w:r>
    </w:p>
    <w:p w:rsidR="0087020C" w:rsidRDefault="00A3460A">
      <w:r>
        <w:t xml:space="preserve">Wszystkie systemy techniczne w tym obiekcie zostały zaprojektowane zgodnie z wymaganiami Uptime Insititute w zakresie standardu TIER 4 i gwarantują </w:t>
      </w:r>
      <w:r>
        <w:rPr>
          <w:b/>
        </w:rPr>
        <w:t>99,995%</w:t>
      </w:r>
      <w:r>
        <w:t xml:space="preserve"> dostępność infrastruktury.</w:t>
      </w:r>
    </w:p>
    <w:p w:rsidR="0087020C" w:rsidRDefault="00A3460A">
      <w:r>
        <w:t>Usługi świadczone w</w:t>
      </w:r>
      <w:r>
        <w:t xml:space="preserve"> POLCOM Data Center objęte są systemem zarządzania zgodnym z normą PN-EN ISO 9001:2008 oraz gwarancjami SLA.</w:t>
      </w:r>
    </w:p>
    <w:p w:rsidR="0087020C" w:rsidRDefault="0087020C"/>
    <w:p w:rsidR="0087020C" w:rsidRDefault="00A3460A">
      <w:pPr>
        <w:pStyle w:val="Nagwek2"/>
      </w:pPr>
      <w:bookmarkStart w:id="38" w:name="_Toc256000017"/>
      <w:bookmarkStart w:id="39" w:name="scroll-bookmark-18"/>
      <w:r>
        <w:t>Obiekt</w:t>
      </w:r>
      <w:bookmarkEnd w:id="38"/>
      <w:bookmarkEnd w:id="39"/>
    </w:p>
    <w:p w:rsidR="0087020C" w:rsidRDefault="00A3460A">
      <w:r>
        <w:t>Całkowita powierzchnia serwerowni liczy ponad 3 000 m2 i jest podzielona na sześć niezależnych komór przeznaczonych na sprzęt IT. Zastosowa</w:t>
      </w:r>
      <w:r>
        <w:t>nie konstrukcji opartej na strunobetonie pozwoliło na stworzenie komór o powierzchni blisko 300 m2 każda, pozbawionych wewnętrznych słupów wspierających strop. Sama konstrukcja stropu oparta na profilach TT posiada dużą wytrzymałość, co dało możliwość wyko</w:t>
      </w:r>
      <w:r>
        <w:t>nania tzw. zielonego dachu. Dach wykonany w „zielonej” technologii przede wszystkim zwiększa bezwładność termiczną stropu, co korzystnie wpływa na temperaturę wewnątrz serwerowni. Poza tym chroni membranę dachową przed czynnikami atmosferycznymi przedłużaj</w:t>
      </w:r>
      <w:r>
        <w:t>ąc tym samym jej żywotność i zwiększa skuteczność ochrony przeciwwilgociowej.</w:t>
      </w:r>
    </w:p>
    <w:p w:rsidR="0087020C" w:rsidRDefault="00A3460A">
      <w:r>
        <w:t xml:space="preserve">Część przeznaczona pod Data Center została zaprojektowana w taki sposób, aby konstrukcyjnie wspomagać działanie systemów technicznych, zwiększać bezpieczeństwo i funkcjonalność. </w:t>
      </w:r>
      <w:r>
        <w:t>Stąd też konstrukcja żelbetonowa budynku posiada całkowitą ciągłością elektryczną zbrojenia tworzącą klatkę Faradaya. Rozwiązanie takie pozwala zapewnić ochronę elektromagnetyczną danych.</w:t>
      </w:r>
    </w:p>
    <w:p w:rsidR="0087020C" w:rsidRDefault="00A3460A">
      <w:r>
        <w:t>Każda z sześciu komór przeznaczonych do pracy serwerów jest wysoka n</w:t>
      </w:r>
      <w:r>
        <w:t>a 6 m i ma zainstalowaną podłogę techniczną podniesioną na wysokość 1,2 m. Zastosowanie profili TT na stropie serwerowni powoduje, że przepływ powietrza jest bardziej uporządkowany i laminarny. Takie parametry pomieszczenia sprawiają, że system klimatyzacj</w:t>
      </w:r>
      <w:r>
        <w:t>i precyzyjnej pracuje bardziej wydajnie i pozwala wychłodzić szafy RACK o większej gęstości mocy.</w:t>
      </w:r>
    </w:p>
    <w:p w:rsidR="0087020C" w:rsidRDefault="00A3460A">
      <w:r>
        <w:t>Poza łatwym dostępem komunikacyjnym, obiekt posiada szereg ułatwień logistycznych. Przy budynku wyznaczono 80 miejsc parkingowych. Do transportu wyposażenia s</w:t>
      </w:r>
      <w:r>
        <w:t>erwerowni zaprojektowano dwie rampy wyładowcze pozwalające na łatwy i szybki rozładunek sprzętu. Tuż przy rampach zbudowane są śluzy transportowe, które w momencie wyładunku umożliwiają dostęp do części magazynowej, jednocześnie zabezpieczając dostęp do cz</w:t>
      </w:r>
      <w:r>
        <w:t>ęści technologicznej i serwerów. Podłoga techniczna podniesiona na wysokość 1,2 m pozwala na sprawne zarządzanie i nadzorowanie infrastruktury technicznej. Z kolei jej wytrzymałość na obciążenie rzędu 2,5 tony/m2 umożliwia transport każdego ładunku mogąceg</w:t>
      </w:r>
      <w:r>
        <w:t>o wystąpić w serwerowni.</w:t>
      </w:r>
    </w:p>
    <w:p w:rsidR="0087020C" w:rsidRDefault="00A3460A">
      <w:r>
        <w:t>3 000 m2 serwerowni jest podzielone na 6 niezależnych komór, które mogą być dodatkowo wydzielone w mniejsze boksy w zależności od wymagań klientów. Każda pojedyncza szafa RACK, boks, komora posiada zainstalowany system kontroli dos</w:t>
      </w:r>
      <w:r>
        <w:t xml:space="preserve">tępu przeprowadzający autoryzację na podstawie karty zbliżeniowej. Dla większego bezpieczeństwa danych strefa techniczna jest odseparowana od części przetwarzania danych w taki sposób, aby uniemożliwić dostęp do serwerów klienta </w:t>
      </w:r>
      <w:r>
        <w:lastRenderedPageBreak/>
        <w:t>osobom niepowołanym (np. se</w:t>
      </w:r>
      <w:r>
        <w:t>rwisantom klimatyzacji). W serwerowni wydzielono również specjalne pomieszczenia do konfigurowania i naprawy sprzętu komputerowego, które podnoszą bezpieczeństwo systemów i komfort pracy inżynierów klienta.</w:t>
      </w:r>
    </w:p>
    <w:p w:rsidR="0087020C" w:rsidRDefault="0087020C"/>
    <w:p w:rsidR="0087020C" w:rsidRDefault="0087020C"/>
    <w:p w:rsidR="00834A30" w:rsidRDefault="00A3460A" w:rsidP="00AF518E"/>
    <w:p w:rsidR="00AF518E" w:rsidRDefault="00A3460A" w:rsidP="00AF518E"/>
    <w:sectPr w:rsidR="00AF518E" w:rsidSect="00AC6E06">
      <w:headerReference w:type="default" r:id="rId22"/>
      <w:footerReference w:type="even" r:id="rId23"/>
      <w:footerReference w:type="default" r:id="rId24"/>
      <w:pgSz w:w="11906" w:h="16838"/>
      <w:pgMar w:top="0" w:right="1418" w:bottom="709" w:left="1418" w:header="709" w:footer="567" w:gutter="0"/>
      <w:pgBorders w:offsetFrom="page">
        <w:top w:val="single" w:sz="6" w:space="24" w:color="FFFFFF"/>
        <w:left w:val="single" w:sz="6" w:space="24" w:color="FFFFFF"/>
        <w:bottom w:val="single" w:sz="6" w:space="24" w:color="FFFFFF"/>
        <w:right w:val="single" w:sz="6" w:space="24" w:color="FFFFFF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3460A" w:rsidRDefault="00A3460A">
      <w:pPr>
        <w:spacing w:line="240" w:lineRule="auto"/>
      </w:pPr>
      <w:r>
        <w:separator/>
      </w:r>
    </w:p>
  </w:endnote>
  <w:endnote w:type="continuationSeparator" w:id="0">
    <w:p w:rsidR="00A3460A" w:rsidRDefault="00A3460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287" w:usb1="00000003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70404" w:rsidRDefault="00A3460A" w:rsidP="00310820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:rsidR="00F70404" w:rsidRDefault="00A3460A" w:rsidP="00310820">
    <w:pPr>
      <w:pStyle w:val="Stopka"/>
      <w:ind w:right="360"/>
    </w:pPr>
  </w:p>
  <w:p w:rsidR="00F70404" w:rsidRDefault="00A3460A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1570B" w:rsidRDefault="00A3460A" w:rsidP="00861F36">
    <w:pPr>
      <w:pStyle w:val="Stopka"/>
      <w:spacing w:before="120"/>
      <w:jc w:val="center"/>
      <w:rPr>
        <w:sz w:val="14"/>
        <w:szCs w:val="14"/>
      </w:rPr>
    </w:pPr>
  </w:p>
  <w:p w:rsidR="00F70404" w:rsidRDefault="00A3460A" w:rsidP="00861F36">
    <w:pPr>
      <w:pStyle w:val="Stopka"/>
      <w:spacing w:before="120"/>
      <w:jc w:val="center"/>
      <w:rPr>
        <w:b/>
        <w:sz w:val="14"/>
        <w:szCs w:val="14"/>
      </w:rPr>
    </w:pPr>
    <w:r>
      <w:rPr>
        <w:noProof/>
      </w:rPr>
      <w:drawing>
        <wp:anchor distT="0" distB="0" distL="114300" distR="114300" simplePos="0" relativeHeight="251657216" behindDoc="0" locked="0" layoutInCell="1" allowOverlap="1">
          <wp:simplePos x="0" y="0"/>
          <wp:positionH relativeFrom="column">
            <wp:posOffset>2540</wp:posOffset>
          </wp:positionH>
          <wp:positionV relativeFrom="paragraph">
            <wp:posOffset>-28575</wp:posOffset>
          </wp:positionV>
          <wp:extent cx="776605" cy="323850"/>
          <wp:effectExtent l="0" t="0" r="4445" b="0"/>
          <wp:wrapSquare wrapText="bothSides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amg_atos_monochrome_black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6605" cy="32385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sz w:val="14"/>
        <w:szCs w:val="14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4696200</wp:posOffset>
          </wp:positionH>
          <wp:positionV relativeFrom="paragraph">
            <wp:posOffset>-28575</wp:posOffset>
          </wp:positionV>
          <wp:extent cx="1068190" cy="324000"/>
          <wp:effectExtent l="0" t="0" r="0" b="0"/>
          <wp:wrapSquare wrapText="bothSides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Unicard_LOGO-bez tła-wyświetlacz1.pn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8190" cy="324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CC59F9">
      <w:rPr>
        <w:sz w:val="14"/>
        <w:szCs w:val="14"/>
      </w:rPr>
      <w:t xml:space="preserve">Strona </w:t>
    </w:r>
    <w:r w:rsidRPr="00CC59F9">
      <w:rPr>
        <w:b/>
        <w:sz w:val="14"/>
        <w:szCs w:val="14"/>
      </w:rPr>
      <w:fldChar w:fldCharType="begin"/>
    </w:r>
    <w:r w:rsidRPr="00CC59F9">
      <w:rPr>
        <w:b/>
        <w:sz w:val="14"/>
        <w:szCs w:val="14"/>
      </w:rPr>
      <w:instrText>PAGE  \* Arabic  \* MERGEFORMAT</w:instrText>
    </w:r>
    <w:r w:rsidRPr="00CC59F9">
      <w:rPr>
        <w:b/>
        <w:sz w:val="14"/>
        <w:szCs w:val="14"/>
      </w:rPr>
      <w:fldChar w:fldCharType="separate"/>
    </w:r>
    <w:r w:rsidR="00B94B6C">
      <w:rPr>
        <w:b/>
        <w:noProof/>
        <w:sz w:val="14"/>
        <w:szCs w:val="14"/>
      </w:rPr>
      <w:t>2</w:t>
    </w:r>
    <w:r w:rsidRPr="00CC59F9">
      <w:rPr>
        <w:b/>
        <w:sz w:val="14"/>
        <w:szCs w:val="14"/>
      </w:rPr>
      <w:fldChar w:fldCharType="end"/>
    </w:r>
    <w:r w:rsidRPr="00CC59F9">
      <w:rPr>
        <w:sz w:val="14"/>
        <w:szCs w:val="14"/>
      </w:rPr>
      <w:t xml:space="preserve"> z </w:t>
    </w:r>
    <w:r w:rsidRPr="00CC59F9">
      <w:rPr>
        <w:b/>
        <w:sz w:val="14"/>
        <w:szCs w:val="14"/>
      </w:rPr>
      <w:fldChar w:fldCharType="begin"/>
    </w:r>
    <w:r w:rsidRPr="00CC59F9">
      <w:rPr>
        <w:b/>
        <w:sz w:val="14"/>
        <w:szCs w:val="14"/>
      </w:rPr>
      <w:instrText>NUMPAGES  \* Arabic  \* MERGEFORMAT</w:instrText>
    </w:r>
    <w:r w:rsidRPr="00CC59F9">
      <w:rPr>
        <w:b/>
        <w:sz w:val="14"/>
        <w:szCs w:val="14"/>
      </w:rPr>
      <w:fldChar w:fldCharType="separate"/>
    </w:r>
    <w:r w:rsidR="00B94B6C">
      <w:rPr>
        <w:b/>
        <w:noProof/>
        <w:sz w:val="14"/>
        <w:szCs w:val="14"/>
      </w:rPr>
      <w:t>26</w:t>
    </w:r>
    <w:r w:rsidRPr="00CC59F9">
      <w:rPr>
        <w:b/>
        <w:sz w:val="14"/>
        <w:szCs w:val="14"/>
      </w:rPr>
      <w:fldChar w:fldCharType="end"/>
    </w:r>
  </w:p>
  <w:p w:rsidR="00F70404" w:rsidRPr="00EA4AF6" w:rsidRDefault="00A3460A" w:rsidP="00EA4AF6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3460A" w:rsidRDefault="00A3460A">
      <w:pPr>
        <w:spacing w:line="240" w:lineRule="auto"/>
      </w:pPr>
      <w:r>
        <w:separator/>
      </w:r>
    </w:p>
  </w:footnote>
  <w:footnote w:type="continuationSeparator" w:id="0">
    <w:p w:rsidR="00A3460A" w:rsidRDefault="00A3460A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70404" w:rsidRDefault="00A3460A" w:rsidP="00F70404">
    <w:pPr>
      <w:pStyle w:val="Nagwek"/>
      <w:jc w:val="center"/>
      <w:rPr>
        <w:rFonts w:ascii="Verdana" w:eastAsia="Arial Unicode MS" w:hAnsi="Verdana"/>
        <w:sz w:val="14"/>
      </w:rPr>
    </w:pPr>
    <w:r>
      <w:rPr>
        <w:rFonts w:ascii="Verdana" w:eastAsia="Arial Unicode MS" w:hAnsi="Verdana"/>
        <w:noProof/>
        <w:sz w:val="14"/>
      </w:rPr>
      <w:drawing>
        <wp:inline distT="0" distB="0" distL="0" distR="0">
          <wp:extent cx="5759450" cy="1011555"/>
          <wp:effectExtent l="0" t="0" r="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Ciagi znakow_poziom pl - CopyAL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59450" cy="101155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F70404" w:rsidRPr="00EA4AF6" w:rsidRDefault="00A3460A" w:rsidP="00EA4AF6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2"/>
    <w:multiLevelType w:val="multilevel"/>
    <w:tmpl w:val="00000002"/>
    <w:name w:val="WW8Num2"/>
    <w:lvl w:ilvl="0">
      <w:start w:val="1"/>
      <w:numFmt w:val="decimal"/>
      <w:lvlText w:val="%1"/>
      <w:lvlJc w:val="left"/>
      <w:pPr>
        <w:tabs>
          <w:tab w:val="num" w:pos="0"/>
        </w:tabs>
        <w:ind w:left="432" w:hanging="432"/>
      </w:pPr>
      <w:rPr>
        <w:rFonts w:cs="Times New Roman"/>
        <w:b w:val="0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576" w:hanging="576"/>
      </w:pPr>
      <w:rPr>
        <w:rFonts w:cs="Times New Roman"/>
        <w:b w:val="0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  <w:rPr>
        <w:rFonts w:cs="Times New Roman"/>
        <w:b w:val="0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864" w:hanging="864"/>
      </w:pPr>
      <w:rPr>
        <w:rFonts w:cs="Times New Roman"/>
        <w:b w:val="0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08" w:hanging="1008"/>
      </w:pPr>
      <w:rPr>
        <w:rFonts w:cs="Times New Roman"/>
        <w:b w:val="0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152" w:hanging="1152"/>
      </w:pPr>
      <w:rPr>
        <w:rFonts w:cs="Times New Roman"/>
        <w:b w:val="0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296" w:hanging="1296"/>
      </w:pPr>
      <w:rPr>
        <w:rFonts w:cs="Times New Roman"/>
        <w:b w:val="0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  <w:rPr>
        <w:rFonts w:cs="Times New Roman"/>
        <w:b w:val="0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584" w:hanging="1584"/>
      </w:pPr>
      <w:rPr>
        <w:rFonts w:cs="Times New Roman"/>
        <w:b w:val="0"/>
      </w:rPr>
    </w:lvl>
  </w:abstractNum>
  <w:abstractNum w:abstractNumId="1">
    <w:nsid w:val="00000004"/>
    <w:multiLevelType w:val="multilevel"/>
    <w:tmpl w:val="00000004"/>
    <w:name w:val="WW8Num4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2">
    <w:nsid w:val="00000005"/>
    <w:multiLevelType w:val="multilevel"/>
    <w:tmpl w:val="00000005"/>
    <w:name w:val="WW8Num5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3">
    <w:nsid w:val="05D8671F"/>
    <w:multiLevelType w:val="multilevel"/>
    <w:tmpl w:val="4044C2E6"/>
    <w:lvl w:ilvl="0">
      <w:start w:val="1"/>
      <w:numFmt w:val="decimal"/>
      <w:lvlText w:val="%1"/>
      <w:lvlJc w:val="left"/>
      <w:pPr>
        <w:tabs>
          <w:tab w:val="num" w:pos="360"/>
        </w:tabs>
        <w:ind w:left="79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93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6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60"/>
        </w:tabs>
        <w:ind w:left="122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60"/>
        </w:tabs>
        <w:ind w:left="136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60"/>
        </w:tabs>
        <w:ind w:left="151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"/>
        </w:tabs>
        <w:ind w:left="165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60"/>
        </w:tabs>
        <w:ind w:left="1800" w:hanging="1440"/>
      </w:pPr>
      <w:rPr>
        <w:rFonts w:hint="default"/>
      </w:rPr>
    </w:lvl>
    <w:lvl w:ilvl="8">
      <w:start w:val="1"/>
      <w:numFmt w:val="decimal"/>
      <w:pStyle w:val="Nagwek9"/>
      <w:lvlText w:val="%1.%2.%3.%4.%5.%6.%7.%8.%9"/>
      <w:lvlJc w:val="left"/>
      <w:pPr>
        <w:tabs>
          <w:tab w:val="num" w:pos="360"/>
        </w:tabs>
        <w:ind w:left="1944" w:hanging="1584"/>
      </w:pPr>
      <w:rPr>
        <w:rFonts w:hint="default"/>
      </w:rPr>
    </w:lvl>
  </w:abstractNum>
  <w:abstractNum w:abstractNumId="4">
    <w:nsid w:val="094A121A"/>
    <w:multiLevelType w:val="hybridMultilevel"/>
    <w:tmpl w:val="D88AB1E6"/>
    <w:lvl w:ilvl="0" w:tplc="FE8CCBC2">
      <w:start w:val="1"/>
      <w:numFmt w:val="bullet"/>
      <w:pStyle w:val="Akapitzlis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C089F8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1561DA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ECC5BD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A2C753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E6452B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7B082E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06614F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B9AE70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C281404"/>
    <w:multiLevelType w:val="multilevel"/>
    <w:tmpl w:val="22EC1A5C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none"/>
      <w:isLgl/>
      <w:lvlText w:val=""/>
      <w:lvlJc w:val="left"/>
      <w:pPr>
        <w:ind w:left="1440" w:hanging="108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isLgl/>
      <w:lvlText w:val="%1.%2.%3.%4."/>
      <w:lvlJc w:val="left"/>
      <w:pPr>
        <w:ind w:left="1800" w:hanging="144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effect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isLgl/>
      <w:lvlText w:val="%1.%2.%3.%4.%5."/>
      <w:lvlJc w:val="left"/>
      <w:pPr>
        <w:ind w:left="2160" w:hanging="180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520" w:hanging="216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52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3240" w:hanging="2880"/>
      </w:pPr>
      <w:rPr>
        <w:rFonts w:cs="Times New Roman" w:hint="default"/>
      </w:rPr>
    </w:lvl>
  </w:abstractNum>
  <w:abstractNum w:abstractNumId="6">
    <w:nsid w:val="21586D38"/>
    <w:multiLevelType w:val="multilevel"/>
    <w:tmpl w:val="88A6C6AE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none"/>
      <w:isLgl/>
      <w:lvlText w:val=""/>
      <w:lvlJc w:val="left"/>
      <w:pPr>
        <w:ind w:left="1440" w:hanging="108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isLgl/>
      <w:lvlText w:val="%1.%2.%3.%4."/>
      <w:lvlJc w:val="left"/>
      <w:pPr>
        <w:ind w:left="1800" w:hanging="144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effect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isLgl/>
      <w:lvlText w:val="%1.%2.%3.%4.%5."/>
      <w:lvlJc w:val="left"/>
      <w:pPr>
        <w:ind w:left="2160" w:hanging="180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520" w:hanging="216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52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3240" w:hanging="2880"/>
      </w:pPr>
      <w:rPr>
        <w:rFonts w:cs="Times New Roman" w:hint="default"/>
      </w:rPr>
    </w:lvl>
  </w:abstractNum>
  <w:abstractNum w:abstractNumId="7">
    <w:nsid w:val="488E23F5"/>
    <w:multiLevelType w:val="multilevel"/>
    <w:tmpl w:val="88A6C6AE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none"/>
      <w:isLgl/>
      <w:lvlText w:val=""/>
      <w:lvlJc w:val="left"/>
      <w:pPr>
        <w:ind w:left="1440" w:hanging="108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isLgl/>
      <w:lvlText w:val="%1.%2.%3.%4."/>
      <w:lvlJc w:val="left"/>
      <w:pPr>
        <w:ind w:left="1800" w:hanging="144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effect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isLgl/>
      <w:lvlText w:val="%1.%2.%3.%4.%5."/>
      <w:lvlJc w:val="left"/>
      <w:pPr>
        <w:ind w:left="2160" w:hanging="180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520" w:hanging="216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52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3240" w:hanging="2880"/>
      </w:pPr>
      <w:rPr>
        <w:rFonts w:cs="Times New Roman" w:hint="default"/>
      </w:rPr>
    </w:lvl>
  </w:abstractNum>
  <w:abstractNum w:abstractNumId="8">
    <w:nsid w:val="49E0537B"/>
    <w:multiLevelType w:val="multilevel"/>
    <w:tmpl w:val="85FC9C26"/>
    <w:lvl w:ilvl="0">
      <w:start w:val="1"/>
      <w:numFmt w:val="decimal"/>
      <w:pStyle w:val="Nagwek1"/>
      <w:lvlText w:val="%1."/>
      <w:lvlJc w:val="left"/>
      <w:pPr>
        <w:ind w:left="720" w:hanging="360"/>
      </w:pPr>
      <w:rPr>
        <w:rFonts w:cs="Times New Roman"/>
      </w:rPr>
    </w:lvl>
    <w:lvl w:ilvl="1">
      <w:start w:val="1"/>
      <w:numFmt w:val="decimal"/>
      <w:pStyle w:val="Nagwek2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decimal"/>
      <w:pStyle w:val="Nagwek3"/>
      <w:isLgl/>
      <w:lvlText w:val="%1.%2.%3."/>
      <w:lvlJc w:val="left"/>
      <w:pPr>
        <w:ind w:left="1440" w:hanging="1080"/>
      </w:pPr>
      <w:rPr>
        <w:rFonts w:cs="Times New Roman" w:hint="default"/>
      </w:rPr>
    </w:lvl>
    <w:lvl w:ilvl="3">
      <w:start w:val="1"/>
      <w:numFmt w:val="decimal"/>
      <w:pStyle w:val="Nagwek4"/>
      <w:isLgl/>
      <w:lvlText w:val="%1.%2.%3.%4."/>
      <w:lvlJc w:val="left"/>
      <w:pPr>
        <w:ind w:left="1800" w:hanging="1440"/>
      </w:pPr>
      <w:rPr>
        <w:rFonts w:cs="Times New Roman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pStyle w:val="Nagwek5"/>
      <w:isLgl/>
      <w:lvlText w:val="%1.%2.%3.%4.%5."/>
      <w:lvlJc w:val="left"/>
      <w:pPr>
        <w:ind w:left="2160" w:hanging="1800"/>
      </w:pPr>
      <w:rPr>
        <w:rFonts w:cs="Times New Roman" w:hint="default"/>
      </w:rPr>
    </w:lvl>
    <w:lvl w:ilvl="5">
      <w:start w:val="1"/>
      <w:numFmt w:val="decimal"/>
      <w:pStyle w:val="Nagwek6"/>
      <w:isLgl/>
      <w:lvlText w:val="%1.%2.%3.%4.%5.%6."/>
      <w:lvlJc w:val="left"/>
      <w:pPr>
        <w:ind w:left="2520" w:hanging="2160"/>
      </w:pPr>
      <w:rPr>
        <w:rFonts w:cs="Times New Roman" w:hint="default"/>
      </w:rPr>
    </w:lvl>
    <w:lvl w:ilvl="6">
      <w:start w:val="1"/>
      <w:numFmt w:val="decimal"/>
      <w:pStyle w:val="Nagwek7"/>
      <w:isLgl/>
      <w:lvlText w:val="%1.%2.%3.%4.%5.%6.%7."/>
      <w:lvlJc w:val="left"/>
      <w:pPr>
        <w:ind w:left="2520" w:hanging="2160"/>
      </w:pPr>
      <w:rPr>
        <w:rFonts w:cs="Times New Roman" w:hint="default"/>
      </w:rPr>
    </w:lvl>
    <w:lvl w:ilvl="7">
      <w:start w:val="1"/>
      <w:numFmt w:val="decimal"/>
      <w:pStyle w:val="Nagwek8"/>
      <w:isLgl/>
      <w:lvlText w:val="%1.%2.%3.%4.%5.%6.%7.%8."/>
      <w:lvlJc w:val="left"/>
      <w:pPr>
        <w:ind w:left="2880" w:hanging="252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auto"/>
        <w:spacing w:val="0"/>
        <w:w w:val="0"/>
        <w:kern w:val="0"/>
        <w:position w:val="0"/>
        <w:sz w:val="0"/>
        <w:szCs w:val="0"/>
        <w:u w:val="none" w:color="000000"/>
        <w:effect w:val="none"/>
        <w:bdr w:val="nil"/>
        <w:shd w:val="clear" w:color="000000" w:fill="000000"/>
        <w:vertAlign w:val="baseli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8">
      <w:start w:val="1"/>
      <w:numFmt w:val="decimal"/>
      <w:isLgl/>
      <w:lvlText w:val="%1.%2.%3.%4.%5.%6.%7.%8.%9."/>
      <w:lvlJc w:val="left"/>
      <w:pPr>
        <w:ind w:left="3240" w:hanging="2880"/>
      </w:pPr>
      <w:rPr>
        <w:rFonts w:cs="Times New Roman" w:hint="default"/>
      </w:rPr>
    </w:lvl>
  </w:abstractNum>
  <w:abstractNum w:abstractNumId="9">
    <w:nsid w:val="501B580C"/>
    <w:multiLevelType w:val="multilevel"/>
    <w:tmpl w:val="22EC1A5C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none"/>
      <w:isLgl/>
      <w:lvlText w:val=""/>
      <w:lvlJc w:val="left"/>
      <w:pPr>
        <w:ind w:left="1440" w:hanging="108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isLgl/>
      <w:lvlText w:val="%1.%2.%3.%4."/>
      <w:lvlJc w:val="left"/>
      <w:pPr>
        <w:ind w:left="1800" w:hanging="144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effect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isLgl/>
      <w:lvlText w:val="%1.%2.%3.%4.%5."/>
      <w:lvlJc w:val="left"/>
      <w:pPr>
        <w:ind w:left="2160" w:hanging="180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520" w:hanging="216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52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3240" w:hanging="2880"/>
      </w:pPr>
      <w:rPr>
        <w:rFonts w:cs="Times New Roman" w:hint="default"/>
      </w:rPr>
    </w:lvl>
  </w:abstractNum>
  <w:abstractNum w:abstractNumId="10">
    <w:nsid w:val="65AE0564"/>
    <w:multiLevelType w:val="hybridMultilevel"/>
    <w:tmpl w:val="5C5CAEA4"/>
    <w:lvl w:ilvl="0" w:tplc="823E1000">
      <w:start w:val="1"/>
      <w:numFmt w:val="decimal"/>
      <w:pStyle w:val="text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1E167354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DAEAEE4C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8FB226A6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FA8673E8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2024491E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96363DDC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73981524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7BD6610A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7D49352E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2">
    <w:nsid w:val="7F84353B"/>
    <w:multiLevelType w:val="multilevel"/>
    <w:tmpl w:val="511047B4"/>
    <w:lvl w:ilvl="0">
      <w:start w:val="1"/>
      <w:numFmt w:val="decimal"/>
      <w:pStyle w:val="Listanum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3">
    <w:nsid w:val="7F84353C"/>
    <w:multiLevelType w:val="hybridMultilevel"/>
    <w:tmpl w:val="7F84353C"/>
    <w:lvl w:ilvl="0" w:tplc="27380D08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 w:tplc="602E248E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/>
      </w:rPr>
    </w:lvl>
    <w:lvl w:ilvl="2" w:tplc="DACC61CA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/>
      </w:rPr>
    </w:lvl>
    <w:lvl w:ilvl="3" w:tplc="FEF25258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4" w:tplc="5BC026BE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/>
      </w:rPr>
    </w:lvl>
    <w:lvl w:ilvl="5" w:tplc="9F4E02DC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/>
      </w:rPr>
    </w:lvl>
    <w:lvl w:ilvl="6" w:tplc="17B85788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/>
      </w:rPr>
    </w:lvl>
    <w:lvl w:ilvl="7" w:tplc="9278A554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/>
      </w:rPr>
    </w:lvl>
    <w:lvl w:ilvl="8" w:tplc="028E4FFC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/>
      </w:rPr>
    </w:lvl>
  </w:abstractNum>
  <w:abstractNum w:abstractNumId="14">
    <w:nsid w:val="7F84353D"/>
    <w:multiLevelType w:val="hybridMultilevel"/>
    <w:tmpl w:val="7F84353D"/>
    <w:lvl w:ilvl="0" w:tplc="5114DB5A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 w:tplc="AB881286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/>
      </w:rPr>
    </w:lvl>
    <w:lvl w:ilvl="2" w:tplc="F5320A7C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/>
      </w:rPr>
    </w:lvl>
    <w:lvl w:ilvl="3" w:tplc="79E6E92E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4" w:tplc="2F343464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/>
      </w:rPr>
    </w:lvl>
    <w:lvl w:ilvl="5" w:tplc="47C4775A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/>
      </w:rPr>
    </w:lvl>
    <w:lvl w:ilvl="6" w:tplc="18AE1194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/>
      </w:rPr>
    </w:lvl>
    <w:lvl w:ilvl="7" w:tplc="9B1E45F8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/>
      </w:rPr>
    </w:lvl>
    <w:lvl w:ilvl="8" w:tplc="D0EEB5F8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/>
      </w:rPr>
    </w:lvl>
  </w:abstractNum>
  <w:abstractNum w:abstractNumId="15">
    <w:nsid w:val="7F84353E"/>
    <w:multiLevelType w:val="hybridMultilevel"/>
    <w:tmpl w:val="7F84353E"/>
    <w:lvl w:ilvl="0" w:tplc="02DC2B6E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 w:tplc="90720382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/>
      </w:rPr>
    </w:lvl>
    <w:lvl w:ilvl="2" w:tplc="E758994A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/>
      </w:rPr>
    </w:lvl>
    <w:lvl w:ilvl="3" w:tplc="3B1C2B70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4" w:tplc="B5F29E80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/>
      </w:rPr>
    </w:lvl>
    <w:lvl w:ilvl="5" w:tplc="1EC862FE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/>
      </w:rPr>
    </w:lvl>
    <w:lvl w:ilvl="6" w:tplc="06FE9AE2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/>
      </w:rPr>
    </w:lvl>
    <w:lvl w:ilvl="7" w:tplc="5E8EE28A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/>
      </w:rPr>
    </w:lvl>
    <w:lvl w:ilvl="8" w:tplc="7E2E5224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/>
      </w:rPr>
    </w:lvl>
  </w:abstractNum>
  <w:abstractNum w:abstractNumId="16">
    <w:nsid w:val="7F84353F"/>
    <w:multiLevelType w:val="hybridMultilevel"/>
    <w:tmpl w:val="7F84353F"/>
    <w:lvl w:ilvl="0" w:tplc="FB4055B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 w:tplc="D99CC32C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/>
      </w:rPr>
    </w:lvl>
    <w:lvl w:ilvl="2" w:tplc="DFAEA930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/>
      </w:rPr>
    </w:lvl>
    <w:lvl w:ilvl="3" w:tplc="1DC2E6FA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4" w:tplc="BC1E40B2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/>
      </w:rPr>
    </w:lvl>
    <w:lvl w:ilvl="5" w:tplc="7AA8F604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/>
      </w:rPr>
    </w:lvl>
    <w:lvl w:ilvl="6" w:tplc="A6D4BBB2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/>
      </w:rPr>
    </w:lvl>
    <w:lvl w:ilvl="7" w:tplc="21368E1A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/>
      </w:rPr>
    </w:lvl>
    <w:lvl w:ilvl="8" w:tplc="DDB4D178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/>
      </w:rPr>
    </w:lvl>
  </w:abstractNum>
  <w:abstractNum w:abstractNumId="17">
    <w:nsid w:val="7F843540"/>
    <w:multiLevelType w:val="hybridMultilevel"/>
    <w:tmpl w:val="7F843540"/>
    <w:lvl w:ilvl="0" w:tplc="F2CC09C8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 w:tplc="B64C129A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/>
      </w:rPr>
    </w:lvl>
    <w:lvl w:ilvl="2" w:tplc="FBA214E2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/>
      </w:rPr>
    </w:lvl>
    <w:lvl w:ilvl="3" w:tplc="88D86062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4" w:tplc="04A82444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/>
      </w:rPr>
    </w:lvl>
    <w:lvl w:ilvl="5" w:tplc="CBEC98BE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/>
      </w:rPr>
    </w:lvl>
    <w:lvl w:ilvl="6" w:tplc="3D1A7BFC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/>
      </w:rPr>
    </w:lvl>
    <w:lvl w:ilvl="7" w:tplc="DB72652A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/>
      </w:rPr>
    </w:lvl>
    <w:lvl w:ilvl="8" w:tplc="67DA92F0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/>
      </w:rPr>
    </w:lvl>
  </w:abstractNum>
  <w:abstractNum w:abstractNumId="18">
    <w:nsid w:val="7F843541"/>
    <w:multiLevelType w:val="hybridMultilevel"/>
    <w:tmpl w:val="7F843541"/>
    <w:lvl w:ilvl="0" w:tplc="3790DEFE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 w:tplc="4478304C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/>
      </w:rPr>
    </w:lvl>
    <w:lvl w:ilvl="2" w:tplc="2F088EBA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/>
      </w:rPr>
    </w:lvl>
    <w:lvl w:ilvl="3" w:tplc="E4369CEE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4" w:tplc="E7B23878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/>
      </w:rPr>
    </w:lvl>
    <w:lvl w:ilvl="5" w:tplc="AE4C0ADC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/>
      </w:rPr>
    </w:lvl>
    <w:lvl w:ilvl="6" w:tplc="F5EE4B02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/>
      </w:rPr>
    </w:lvl>
    <w:lvl w:ilvl="7" w:tplc="0B9801AA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/>
      </w:rPr>
    </w:lvl>
    <w:lvl w:ilvl="8" w:tplc="3E547C5C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/>
      </w:rPr>
    </w:lvl>
  </w:abstractNum>
  <w:abstractNum w:abstractNumId="19">
    <w:nsid w:val="7F843542"/>
    <w:multiLevelType w:val="hybridMultilevel"/>
    <w:tmpl w:val="7F843542"/>
    <w:lvl w:ilvl="0" w:tplc="1E58A0C8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 w:tplc="A8D445D0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/>
      </w:rPr>
    </w:lvl>
    <w:lvl w:ilvl="2" w:tplc="BE6A71FA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/>
      </w:rPr>
    </w:lvl>
    <w:lvl w:ilvl="3" w:tplc="0F382824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4" w:tplc="6DA0FFDA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/>
      </w:rPr>
    </w:lvl>
    <w:lvl w:ilvl="5" w:tplc="F75629F0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/>
      </w:rPr>
    </w:lvl>
    <w:lvl w:ilvl="6" w:tplc="27DEFBE4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/>
      </w:rPr>
    </w:lvl>
    <w:lvl w:ilvl="7" w:tplc="27844FAE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/>
      </w:rPr>
    </w:lvl>
    <w:lvl w:ilvl="8" w:tplc="23385E3C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/>
      </w:rPr>
    </w:lvl>
  </w:abstractNum>
  <w:abstractNum w:abstractNumId="20">
    <w:nsid w:val="7F843543"/>
    <w:multiLevelType w:val="hybridMultilevel"/>
    <w:tmpl w:val="7F843543"/>
    <w:lvl w:ilvl="0" w:tplc="BAB42ED8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 w:tplc="6974165C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/>
      </w:rPr>
    </w:lvl>
    <w:lvl w:ilvl="2" w:tplc="1A30EFBC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/>
      </w:rPr>
    </w:lvl>
    <w:lvl w:ilvl="3" w:tplc="C060C6F6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4" w:tplc="771C0F02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/>
      </w:rPr>
    </w:lvl>
    <w:lvl w:ilvl="5" w:tplc="316C5C48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/>
      </w:rPr>
    </w:lvl>
    <w:lvl w:ilvl="6" w:tplc="C4A0C496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/>
      </w:rPr>
    </w:lvl>
    <w:lvl w:ilvl="7" w:tplc="24D0C1C2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/>
      </w:rPr>
    </w:lvl>
    <w:lvl w:ilvl="8" w:tplc="B98A8E94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/>
      </w:rPr>
    </w:lvl>
  </w:abstractNum>
  <w:abstractNum w:abstractNumId="21">
    <w:nsid w:val="7F843544"/>
    <w:multiLevelType w:val="hybridMultilevel"/>
    <w:tmpl w:val="7F843544"/>
    <w:lvl w:ilvl="0" w:tplc="D1962754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 w:tplc="2468F77E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/>
      </w:rPr>
    </w:lvl>
    <w:lvl w:ilvl="2" w:tplc="4BBE22C0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/>
      </w:rPr>
    </w:lvl>
    <w:lvl w:ilvl="3" w:tplc="9D3A4C70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4" w:tplc="E5208DB4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/>
      </w:rPr>
    </w:lvl>
    <w:lvl w:ilvl="5" w:tplc="96329B54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/>
      </w:rPr>
    </w:lvl>
    <w:lvl w:ilvl="6" w:tplc="4F8AB4C0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/>
      </w:rPr>
    </w:lvl>
    <w:lvl w:ilvl="7" w:tplc="BE822E18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/>
      </w:rPr>
    </w:lvl>
    <w:lvl w:ilvl="8" w:tplc="C0CCEC88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/>
      </w:rPr>
    </w:lvl>
  </w:abstractNum>
  <w:abstractNum w:abstractNumId="22">
    <w:nsid w:val="7F843545"/>
    <w:multiLevelType w:val="hybridMultilevel"/>
    <w:tmpl w:val="7F843545"/>
    <w:lvl w:ilvl="0" w:tplc="F1DE69B4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 w:tplc="9E720B4A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/>
      </w:rPr>
    </w:lvl>
    <w:lvl w:ilvl="2" w:tplc="77D6D664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/>
      </w:rPr>
    </w:lvl>
    <w:lvl w:ilvl="3" w:tplc="7482F996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4" w:tplc="B518F2D0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/>
      </w:rPr>
    </w:lvl>
    <w:lvl w:ilvl="5" w:tplc="A61ADBFA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/>
      </w:rPr>
    </w:lvl>
    <w:lvl w:ilvl="6" w:tplc="B240B488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/>
      </w:rPr>
    </w:lvl>
    <w:lvl w:ilvl="7" w:tplc="69C06318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/>
      </w:rPr>
    </w:lvl>
    <w:lvl w:ilvl="8" w:tplc="2402BF76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/>
      </w:rPr>
    </w:lvl>
  </w:abstractNum>
  <w:num w:numId="1">
    <w:abstractNumId w:val="10"/>
  </w:num>
  <w:num w:numId="2">
    <w:abstractNumId w:val="4"/>
  </w:num>
  <w:num w:numId="3">
    <w:abstractNumId w:val="12"/>
  </w:num>
  <w:num w:numId="4">
    <w:abstractNumId w:val="8"/>
  </w:num>
  <w:num w:numId="5">
    <w:abstractNumId w:val="3"/>
  </w:num>
  <w:num w:numId="6">
    <w:abstractNumId w:val="7"/>
  </w:num>
  <w:num w:numId="7">
    <w:abstractNumId w:val="9"/>
  </w:num>
  <w:num w:numId="8">
    <w:abstractNumId w:val="11"/>
  </w:num>
  <w:num w:numId="9">
    <w:abstractNumId w:val="5"/>
  </w:num>
  <w:num w:numId="10">
    <w:abstractNumId w:val="6"/>
  </w:num>
  <w:num w:numId="1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3"/>
  </w:num>
  <w:num w:numId="13">
    <w:abstractNumId w:val="14"/>
  </w:num>
  <w:num w:numId="14">
    <w:abstractNumId w:val="15"/>
  </w:num>
  <w:num w:numId="15">
    <w:abstractNumId w:val="16"/>
  </w:num>
  <w:num w:numId="16">
    <w:abstractNumId w:val="17"/>
  </w:num>
  <w:num w:numId="17">
    <w:abstractNumId w:val="18"/>
  </w:num>
  <w:num w:numId="18">
    <w:abstractNumId w:val="19"/>
  </w:num>
  <w:num w:numId="19">
    <w:abstractNumId w:val="20"/>
  </w:num>
  <w:num w:numId="20">
    <w:abstractNumId w:val="21"/>
  </w:num>
  <w:num w:numId="21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7020C"/>
    <w:rsid w:val="0087020C"/>
    <w:rsid w:val="00A3460A"/>
    <w:rsid w:val="00B94B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FFD7F317-CF79-4C6E-8B0F-0799F35A46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1">
    <w:lsdException w:name="Normal" w:locked="1" w:qFormat="1"/>
    <w:lsdException w:name="heading 1" w:locked="1" w:qFormat="1"/>
    <w:lsdException w:name="heading 2" w:locked="1" w:qFormat="1"/>
    <w:lsdException w:name="heading 3" w:lock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locked="1" w:semiHidden="1" w:unhideWhenUsed="1"/>
    <w:lsdException w:name="header" w:semiHidden="1" w:unhideWhenUsed="1"/>
    <w:lsdException w:name="footer" w:locked="1" w:semiHidden="1" w:uiPriority="99" w:unhideWhenUsed="1"/>
    <w:lsdException w:name="index heading" w:semiHidden="1" w:unhideWhenUsed="1"/>
    <w:lsdException w:name="caption" w:locked="1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locked="1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AC6E06"/>
    <w:pPr>
      <w:spacing w:line="276" w:lineRule="auto"/>
    </w:pPr>
    <w:rPr>
      <w:rFonts w:ascii="Arial" w:hAnsi="Arial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AC6E06"/>
    <w:pPr>
      <w:keepNext/>
      <w:numPr>
        <w:numId w:val="4"/>
      </w:numPr>
      <w:spacing w:before="240" w:after="60"/>
      <w:ind w:left="397" w:hanging="397"/>
      <w:outlineLvl w:val="0"/>
    </w:pPr>
    <w:rPr>
      <w:rFonts w:ascii="Trebuchet MS" w:hAnsi="Trebuchet MS" w:cs="Arial"/>
      <w:b/>
      <w:bCs/>
      <w:kern w:val="32"/>
      <w:sz w:val="30"/>
      <w:szCs w:val="30"/>
    </w:rPr>
  </w:style>
  <w:style w:type="paragraph" w:styleId="Nagwek2">
    <w:name w:val="heading 2"/>
    <w:basedOn w:val="Nagwek1"/>
    <w:next w:val="Normalny"/>
    <w:link w:val="Nagwek2Znak"/>
    <w:qFormat/>
    <w:rsid w:val="004712E3"/>
    <w:pPr>
      <w:numPr>
        <w:ilvl w:val="1"/>
      </w:numPr>
      <w:ind w:left="624" w:hanging="624"/>
      <w:outlineLvl w:val="1"/>
    </w:pPr>
    <w:rPr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AC6E06"/>
    <w:pPr>
      <w:keepNext/>
      <w:numPr>
        <w:ilvl w:val="2"/>
        <w:numId w:val="4"/>
      </w:numPr>
      <w:spacing w:before="240" w:after="60"/>
      <w:ind w:left="851" w:hanging="851"/>
      <w:outlineLvl w:val="2"/>
    </w:pPr>
    <w:rPr>
      <w:rFonts w:ascii="Trebuchet MS" w:hAnsi="Trebuchet MS" w:cs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locked/>
    <w:rsid w:val="00AC6E06"/>
    <w:pPr>
      <w:numPr>
        <w:ilvl w:val="3"/>
        <w:numId w:val="4"/>
      </w:numPr>
      <w:spacing w:before="240" w:after="60"/>
      <w:ind w:left="1021" w:hanging="1021"/>
      <w:outlineLvl w:val="3"/>
    </w:pPr>
    <w:rPr>
      <w:rFonts w:ascii="Trebuchet MS" w:hAnsi="Trebuchet MS"/>
      <w:b/>
      <w:lang w:eastAsia="en-US"/>
    </w:rPr>
  </w:style>
  <w:style w:type="paragraph" w:styleId="Nagwek5">
    <w:name w:val="heading 5"/>
    <w:basedOn w:val="Normalny"/>
    <w:next w:val="Normalny"/>
    <w:link w:val="Nagwek5Znak"/>
    <w:qFormat/>
    <w:locked/>
    <w:rsid w:val="00AC6E06"/>
    <w:pPr>
      <w:numPr>
        <w:ilvl w:val="4"/>
        <w:numId w:val="4"/>
      </w:numPr>
      <w:spacing w:before="240" w:after="60"/>
      <w:ind w:left="1247" w:hanging="1247"/>
      <w:outlineLvl w:val="4"/>
    </w:pPr>
    <w:rPr>
      <w:rFonts w:ascii="Trebuchet MS" w:hAnsi="Trebuchet MS"/>
      <w:b/>
      <w:bCs/>
      <w:i/>
      <w:iCs/>
      <w:szCs w:val="26"/>
    </w:rPr>
  </w:style>
  <w:style w:type="paragraph" w:styleId="Nagwek6">
    <w:name w:val="heading 6"/>
    <w:basedOn w:val="Normalny"/>
    <w:next w:val="Normalny"/>
    <w:link w:val="Nagwek6Znak"/>
    <w:qFormat/>
    <w:locked/>
    <w:rsid w:val="00AC6E06"/>
    <w:pPr>
      <w:numPr>
        <w:ilvl w:val="5"/>
        <w:numId w:val="4"/>
      </w:numPr>
      <w:spacing w:before="240" w:after="60"/>
      <w:ind w:left="1474" w:hanging="1474"/>
      <w:outlineLvl w:val="5"/>
    </w:pPr>
    <w:rPr>
      <w:rFonts w:ascii="Trebuchet MS" w:hAnsi="Trebuchet MS"/>
      <w:b/>
      <w:bCs/>
      <w:i/>
      <w:szCs w:val="22"/>
    </w:rPr>
  </w:style>
  <w:style w:type="paragraph" w:styleId="Nagwek7">
    <w:name w:val="heading 7"/>
    <w:basedOn w:val="Normalny"/>
    <w:next w:val="Normalny"/>
    <w:link w:val="Nagwek7Znak"/>
    <w:qFormat/>
    <w:locked/>
    <w:rsid w:val="00AC6E06"/>
    <w:pPr>
      <w:numPr>
        <w:ilvl w:val="6"/>
        <w:numId w:val="4"/>
      </w:numPr>
      <w:spacing w:before="240" w:after="60"/>
      <w:ind w:left="1644" w:hanging="1644"/>
      <w:outlineLvl w:val="6"/>
    </w:pPr>
    <w:rPr>
      <w:rFonts w:ascii="Trebuchet MS" w:hAnsi="Trebuchet MS"/>
      <w:i/>
    </w:rPr>
  </w:style>
  <w:style w:type="paragraph" w:styleId="Nagwek8">
    <w:name w:val="heading 8"/>
    <w:basedOn w:val="Normalny"/>
    <w:next w:val="Normalny"/>
    <w:link w:val="Nagwek8Znak"/>
    <w:qFormat/>
    <w:locked/>
    <w:rsid w:val="00AC6E06"/>
    <w:pPr>
      <w:numPr>
        <w:ilvl w:val="7"/>
        <w:numId w:val="4"/>
      </w:numPr>
      <w:spacing w:before="240" w:after="60"/>
      <w:ind w:left="1814" w:hanging="1814"/>
      <w:outlineLvl w:val="7"/>
    </w:pPr>
    <w:rPr>
      <w:rFonts w:ascii="Trebuchet MS" w:hAnsi="Trebuchet MS"/>
      <w:i/>
      <w:iCs/>
    </w:rPr>
  </w:style>
  <w:style w:type="paragraph" w:styleId="Nagwek9">
    <w:name w:val="heading 9"/>
    <w:basedOn w:val="Normalny"/>
    <w:next w:val="Normalny"/>
    <w:link w:val="Nagwek9Znak"/>
    <w:qFormat/>
    <w:locked/>
    <w:rsid w:val="00AC6E06"/>
    <w:pPr>
      <w:numPr>
        <w:ilvl w:val="8"/>
        <w:numId w:val="5"/>
      </w:numPr>
      <w:spacing w:before="240" w:after="60"/>
      <w:ind w:hanging="1944"/>
      <w:outlineLvl w:val="8"/>
    </w:pPr>
    <w:rPr>
      <w:rFonts w:ascii="Trebuchet MS" w:hAnsi="Trebuchet MS" w:cs="Arial"/>
      <w:i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rsid w:val="002958C1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2958C1"/>
    <w:pPr>
      <w:tabs>
        <w:tab w:val="center" w:pos="4536"/>
        <w:tab w:val="right" w:pos="9072"/>
      </w:tabs>
    </w:pPr>
  </w:style>
  <w:style w:type="paragraph" w:styleId="Tekstdymka">
    <w:name w:val="Balloon Text"/>
    <w:basedOn w:val="Normalny"/>
    <w:semiHidden/>
    <w:rsid w:val="00E15C9F"/>
    <w:rPr>
      <w:rFonts w:ascii="Tahoma" w:hAnsi="Tahoma" w:cs="Tahoma"/>
      <w:sz w:val="16"/>
      <w:szCs w:val="16"/>
    </w:rPr>
  </w:style>
  <w:style w:type="paragraph" w:styleId="Tekstpodstawowy">
    <w:name w:val="Body Text"/>
    <w:basedOn w:val="Normalny"/>
    <w:rsid w:val="00FF73FD"/>
    <w:pPr>
      <w:autoSpaceDE w:val="0"/>
      <w:autoSpaceDN w:val="0"/>
    </w:pPr>
    <w:rPr>
      <w:sz w:val="20"/>
    </w:rPr>
  </w:style>
  <w:style w:type="character" w:styleId="Odwoaniedokomentarza">
    <w:name w:val="annotation reference"/>
    <w:basedOn w:val="Domylnaczcionkaakapitu"/>
    <w:semiHidden/>
    <w:rsid w:val="00280530"/>
    <w:rPr>
      <w:sz w:val="16"/>
    </w:rPr>
  </w:style>
  <w:style w:type="paragraph" w:styleId="Tekstkomentarza">
    <w:name w:val="annotation text"/>
    <w:basedOn w:val="Normalny"/>
    <w:link w:val="TekstkomentarzaZnak"/>
    <w:semiHidden/>
    <w:rsid w:val="00280530"/>
    <w:rPr>
      <w:sz w:val="20"/>
    </w:rPr>
  </w:style>
  <w:style w:type="paragraph" w:styleId="Tematkomentarza">
    <w:name w:val="annotation subject"/>
    <w:basedOn w:val="Tekstkomentarza"/>
    <w:next w:val="Tekstkomentarza"/>
    <w:semiHidden/>
    <w:rsid w:val="00280530"/>
    <w:rPr>
      <w:b/>
      <w:bCs/>
    </w:rPr>
  </w:style>
  <w:style w:type="character" w:styleId="Numerstrony">
    <w:name w:val="page number"/>
    <w:basedOn w:val="Domylnaczcionkaakapitu"/>
    <w:rsid w:val="00190E20"/>
    <w:rPr>
      <w:rFonts w:cs="Times New Roman"/>
    </w:rPr>
  </w:style>
  <w:style w:type="paragraph" w:styleId="NormalnyWeb">
    <w:name w:val="Normal (Web)"/>
    <w:basedOn w:val="Normalny"/>
    <w:rsid w:val="00942ABE"/>
    <w:pPr>
      <w:spacing w:before="100" w:beforeAutospacing="1" w:after="100" w:afterAutospacing="1"/>
    </w:pPr>
  </w:style>
  <w:style w:type="paragraph" w:styleId="Tekstprzypisukocowego">
    <w:name w:val="endnote text"/>
    <w:basedOn w:val="Normalny"/>
    <w:link w:val="TekstprzypisukocowegoZnak"/>
    <w:rsid w:val="001C3134"/>
    <w:rPr>
      <w:sz w:val="20"/>
    </w:rPr>
  </w:style>
  <w:style w:type="character" w:customStyle="1" w:styleId="TekstprzypisukocowegoZnak">
    <w:name w:val="Tekst przypisu końcowego Znak"/>
    <w:basedOn w:val="Domylnaczcionkaakapitu"/>
    <w:link w:val="Tekstprzypisukocowego"/>
    <w:locked/>
    <w:rsid w:val="001C3134"/>
    <w:rPr>
      <w:rFonts w:cs="Times New Roman"/>
    </w:rPr>
  </w:style>
  <w:style w:type="character" w:styleId="Odwoanieprzypisukocowego">
    <w:name w:val="endnote reference"/>
    <w:basedOn w:val="Domylnaczcionkaakapitu"/>
    <w:rsid w:val="001C3134"/>
    <w:rPr>
      <w:vertAlign w:val="superscript"/>
    </w:rPr>
  </w:style>
  <w:style w:type="character" w:styleId="Hipercze">
    <w:name w:val="Hyperlink"/>
    <w:basedOn w:val="Domylnaczcionkaakapitu"/>
    <w:uiPriority w:val="99"/>
    <w:rsid w:val="002972B9"/>
    <w:rPr>
      <w:color w:val="0000FF"/>
      <w:u w:val="single"/>
    </w:rPr>
  </w:style>
  <w:style w:type="paragraph" w:styleId="Spistreci1">
    <w:name w:val="toc 1"/>
    <w:basedOn w:val="Normalny"/>
    <w:next w:val="Normalny"/>
    <w:autoRedefine/>
    <w:uiPriority w:val="39"/>
    <w:rsid w:val="005E4FDD"/>
    <w:pPr>
      <w:tabs>
        <w:tab w:val="left" w:pos="480"/>
        <w:tab w:val="right" w:leader="dot" w:pos="9062"/>
      </w:tabs>
      <w:spacing w:before="120"/>
    </w:pPr>
    <w:rPr>
      <w:rFonts w:asciiTheme="minorHAnsi" w:hAnsiTheme="minorHAnsi"/>
      <w:b/>
      <w:bCs/>
      <w:caps/>
      <w:sz w:val="20"/>
      <w:szCs w:val="20"/>
    </w:rPr>
  </w:style>
  <w:style w:type="paragraph" w:styleId="Spistreci3">
    <w:name w:val="toc 3"/>
    <w:basedOn w:val="Normalny"/>
    <w:next w:val="Normalny"/>
    <w:autoRedefine/>
    <w:uiPriority w:val="39"/>
    <w:rsid w:val="00E90354"/>
    <w:pPr>
      <w:tabs>
        <w:tab w:val="left" w:pos="1200"/>
        <w:tab w:val="right" w:leader="dot" w:pos="9062"/>
      </w:tabs>
      <w:ind w:left="480"/>
    </w:pPr>
    <w:rPr>
      <w:rFonts w:asciiTheme="minorHAnsi" w:hAnsiTheme="minorHAnsi"/>
      <w:iCs/>
      <w:noProof/>
      <w:sz w:val="20"/>
      <w:szCs w:val="20"/>
    </w:rPr>
  </w:style>
  <w:style w:type="character" w:customStyle="1" w:styleId="TekstkomentarzaZnak">
    <w:name w:val="Tekst komentarza Znak"/>
    <w:link w:val="Tekstkomentarza"/>
    <w:semiHidden/>
    <w:locked/>
    <w:rsid w:val="00C67886"/>
    <w:rPr>
      <w:lang w:val="pl-PL" w:eastAsia="pl-PL"/>
    </w:rPr>
  </w:style>
  <w:style w:type="paragraph" w:customStyle="1" w:styleId="stylefirstline0cmright025cm">
    <w:name w:val="stylefirstline0cmright025cm"/>
    <w:basedOn w:val="Normalny"/>
    <w:rsid w:val="00156E7F"/>
    <w:pPr>
      <w:spacing w:before="100" w:beforeAutospacing="1" w:after="100" w:afterAutospacing="1"/>
    </w:pPr>
  </w:style>
  <w:style w:type="paragraph" w:customStyle="1" w:styleId="Akapitzlist1">
    <w:name w:val="Akapit z listą1"/>
    <w:basedOn w:val="Normalny"/>
    <w:rsid w:val="00156E7F"/>
    <w:pPr>
      <w:autoSpaceDE w:val="0"/>
      <w:autoSpaceDN w:val="0"/>
      <w:ind w:left="720"/>
      <w:contextualSpacing/>
    </w:pPr>
    <w:rPr>
      <w:sz w:val="20"/>
    </w:rPr>
  </w:style>
  <w:style w:type="paragraph" w:customStyle="1" w:styleId="Poprawka1">
    <w:name w:val="Poprawka1"/>
    <w:hidden/>
    <w:semiHidden/>
    <w:rsid w:val="00246B96"/>
    <w:rPr>
      <w:sz w:val="24"/>
    </w:rPr>
  </w:style>
  <w:style w:type="paragraph" w:customStyle="1" w:styleId="Akapitzlist2">
    <w:name w:val="Akapit z listą2"/>
    <w:basedOn w:val="Normalny"/>
    <w:rsid w:val="00887E5B"/>
    <w:pPr>
      <w:ind w:left="720"/>
      <w:contextualSpacing/>
    </w:pPr>
  </w:style>
  <w:style w:type="paragraph" w:customStyle="1" w:styleId="Nagwekspisutreci1">
    <w:name w:val="Nagłówek spisu treści1"/>
    <w:basedOn w:val="Nagwek1"/>
    <w:next w:val="Normalny"/>
    <w:rsid w:val="00FD2CFF"/>
    <w:pPr>
      <w:outlineLvl w:val="9"/>
    </w:pPr>
    <w:rPr>
      <w:rFonts w:ascii="Cambria" w:hAnsi="Cambria" w:cs="Times New Roman"/>
    </w:rPr>
  </w:style>
  <w:style w:type="character" w:customStyle="1" w:styleId="NagwekZnak">
    <w:name w:val="Nagłówek Znak"/>
    <w:link w:val="Nagwek"/>
    <w:locked/>
    <w:rsid w:val="009340E6"/>
    <w:rPr>
      <w:sz w:val="24"/>
    </w:rPr>
  </w:style>
  <w:style w:type="character" w:customStyle="1" w:styleId="StopkaZnak">
    <w:name w:val="Stopka Znak"/>
    <w:link w:val="Stopka"/>
    <w:uiPriority w:val="99"/>
    <w:locked/>
    <w:rsid w:val="009340E6"/>
    <w:rPr>
      <w:sz w:val="24"/>
    </w:rPr>
  </w:style>
  <w:style w:type="paragraph" w:styleId="Spistreci2">
    <w:name w:val="toc 2"/>
    <w:basedOn w:val="Normalny"/>
    <w:next w:val="Normalny"/>
    <w:autoRedefine/>
    <w:uiPriority w:val="39"/>
    <w:rsid w:val="005E4FDD"/>
    <w:pPr>
      <w:tabs>
        <w:tab w:val="left" w:pos="960"/>
        <w:tab w:val="right" w:leader="dot" w:pos="9062"/>
      </w:tabs>
      <w:ind w:left="240"/>
    </w:pPr>
    <w:rPr>
      <w:rFonts w:asciiTheme="minorHAnsi" w:hAnsiTheme="minorHAnsi"/>
      <w:noProof/>
      <w:sz w:val="20"/>
      <w:szCs w:val="20"/>
    </w:rPr>
  </w:style>
  <w:style w:type="paragraph" w:styleId="Tekstpodstawowywcity2">
    <w:name w:val="Body Text Indent 2"/>
    <w:basedOn w:val="Normalny"/>
    <w:link w:val="Tekstpodstawowywcity2Znak"/>
    <w:rsid w:val="00B12D62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link w:val="Tekstpodstawowywcity2"/>
    <w:locked/>
    <w:rsid w:val="00B12D62"/>
    <w:rPr>
      <w:sz w:val="24"/>
    </w:rPr>
  </w:style>
  <w:style w:type="paragraph" w:customStyle="1" w:styleId="text">
    <w:name w:val="text"/>
    <w:basedOn w:val="Normalny"/>
    <w:rsid w:val="002354FE"/>
    <w:pPr>
      <w:numPr>
        <w:numId w:val="1"/>
      </w:numPr>
      <w:suppressAutoHyphens/>
      <w:spacing w:before="120"/>
    </w:pPr>
    <w:rPr>
      <w:rFonts w:ascii="Calibri" w:eastAsia="SimSun" w:hAnsi="Calibri" w:cs="Mangal"/>
      <w:kern w:val="1"/>
      <w:sz w:val="22"/>
      <w:lang w:eastAsia="hi-IN" w:bidi="hi-IN"/>
    </w:rPr>
  </w:style>
  <w:style w:type="paragraph" w:styleId="Legenda">
    <w:name w:val="caption"/>
    <w:basedOn w:val="Normalny"/>
    <w:next w:val="Normalny"/>
    <w:qFormat/>
    <w:rsid w:val="0062759B"/>
    <w:rPr>
      <w:b/>
      <w:bCs/>
      <w:sz w:val="20"/>
      <w:szCs w:val="20"/>
    </w:rPr>
  </w:style>
  <w:style w:type="character" w:customStyle="1" w:styleId="Nagwek2Znak">
    <w:name w:val="Nagłówek 2 Znak"/>
    <w:link w:val="Nagwek2"/>
    <w:locked/>
    <w:rsid w:val="004712E3"/>
    <w:rPr>
      <w:rFonts w:ascii="Trebuchet MS" w:hAnsi="Trebuchet MS" w:cs="Arial"/>
      <w:b/>
      <w:bCs/>
      <w:color w:val="333399"/>
      <w:kern w:val="32"/>
      <w:sz w:val="28"/>
      <w:szCs w:val="28"/>
    </w:rPr>
  </w:style>
  <w:style w:type="paragraph" w:customStyle="1" w:styleId="TekstPodst">
    <w:name w:val="TekstPodst"/>
    <w:basedOn w:val="Normalny"/>
    <w:rsid w:val="00835E82"/>
    <w:pPr>
      <w:spacing w:after="120"/>
    </w:pPr>
  </w:style>
  <w:style w:type="table" w:customStyle="1" w:styleId="Tab1">
    <w:name w:val="Tab1"/>
    <w:basedOn w:val="Tabela-Siatka"/>
    <w:rsid w:val="009D1112"/>
    <w:pPr>
      <w:spacing w:before="60" w:after="60"/>
    </w:pPr>
    <w:rPr>
      <w:rFonts w:ascii="Trebuchet MS" w:hAnsi="Trebuchet MS"/>
      <w:i/>
      <w:color w:val="5F5F5F"/>
    </w:rPr>
    <w:tblPr>
      <w:tblInd w:w="0" w:type="dxa"/>
      <w:tblBorders>
        <w:top w:val="single" w:sz="6" w:space="0" w:color="5F5F5F"/>
        <w:left w:val="single" w:sz="6" w:space="0" w:color="5F5F5F"/>
        <w:bottom w:val="single" w:sz="6" w:space="0" w:color="5F5F5F"/>
        <w:right w:val="single" w:sz="6" w:space="0" w:color="5F5F5F"/>
        <w:insideH w:val="single" w:sz="6" w:space="0" w:color="5F5F5F"/>
        <w:insideV w:val="single" w:sz="6" w:space="0" w:color="5F5F5F"/>
      </w:tblBorders>
      <w:tblCellMar>
        <w:top w:w="0" w:type="dxa"/>
        <w:left w:w="108" w:type="dxa"/>
        <w:bottom w:w="0" w:type="dxa"/>
        <w:right w:w="108" w:type="dxa"/>
      </w:tblCellMar>
    </w:tblPr>
    <w:trPr>
      <w:cantSplit/>
    </w:trPr>
    <w:tcPr>
      <w:shd w:val="clear" w:color="auto" w:fill="FFFFFF" w:themeFill="background1"/>
    </w:tcPr>
    <w:tblStylePr w:type="firstRow">
      <w:rPr>
        <w:rFonts w:ascii="Trebuchet MS" w:hAnsi="Trebuchet MS" w:cs="Times New Roman"/>
        <w:b/>
        <w:sz w:val="20"/>
      </w:rPr>
      <w:tblPr/>
      <w:tcPr>
        <w:shd w:val="clear" w:color="auto" w:fill="808080"/>
      </w:tcPr>
    </w:tblStylePr>
    <w:tblStylePr w:type="firstCol">
      <w:rPr>
        <w:rFonts w:ascii="Trebuchet MS" w:hAnsi="Trebuchet MS"/>
        <w:b/>
        <w:i w:val="0"/>
        <w:color w:val="FFFFFF" w:themeColor="background1"/>
        <w:sz w:val="20"/>
      </w:rPr>
      <w:tblPr/>
      <w:tcPr>
        <w:shd w:val="clear" w:color="auto" w:fill="808080"/>
      </w:tcPr>
    </w:tblStylePr>
  </w:style>
  <w:style w:type="table" w:styleId="Tabela-Siatka">
    <w:name w:val="Table Grid"/>
    <w:basedOn w:val="Standardowy"/>
    <w:rsid w:val="00835E8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ytu">
    <w:name w:val="Title"/>
    <w:basedOn w:val="Normalny"/>
    <w:next w:val="Normalny"/>
    <w:link w:val="TytuZnak"/>
    <w:qFormat/>
    <w:rsid w:val="00CB21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ytuZnak">
    <w:name w:val="Tytuł Znak"/>
    <w:basedOn w:val="Domylnaczcionkaakapitu"/>
    <w:link w:val="Tytu"/>
    <w:rsid w:val="00CB21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Teksttabeli">
    <w:name w:val="Tekst tabeli"/>
    <w:basedOn w:val="Normalny"/>
    <w:link w:val="TeksttabeliZnak"/>
    <w:qFormat/>
    <w:rsid w:val="00F513C7"/>
    <w:pPr>
      <w:spacing w:before="60" w:after="60"/>
    </w:pPr>
    <w:rPr>
      <w:sz w:val="20"/>
      <w:szCs w:val="20"/>
    </w:rPr>
  </w:style>
  <w:style w:type="character" w:customStyle="1" w:styleId="TeksttabeliZnak">
    <w:name w:val="Tekst tabeli Znak"/>
    <w:link w:val="Teksttabeli"/>
    <w:rsid w:val="00F513C7"/>
    <w:rPr>
      <w:rFonts w:ascii="Arial" w:hAnsi="Arial"/>
    </w:rPr>
  </w:style>
  <w:style w:type="character" w:customStyle="1" w:styleId="Nagwek1Znak">
    <w:name w:val="Nagłówek 1 Znak"/>
    <w:link w:val="Nagwek1"/>
    <w:rsid w:val="00AC6E06"/>
    <w:rPr>
      <w:rFonts w:ascii="Trebuchet MS" w:hAnsi="Trebuchet MS" w:cs="Arial"/>
      <w:b/>
      <w:bCs/>
      <w:kern w:val="32"/>
      <w:sz w:val="30"/>
      <w:szCs w:val="30"/>
    </w:rPr>
  </w:style>
  <w:style w:type="character" w:customStyle="1" w:styleId="Nagwek3Znak">
    <w:name w:val="Nagłówek 3 Znak"/>
    <w:link w:val="Nagwek3"/>
    <w:rsid w:val="00AC6E06"/>
    <w:rPr>
      <w:rFonts w:ascii="Trebuchet MS" w:hAnsi="Trebuchet MS" w:cs="Arial"/>
      <w:b/>
      <w:bCs/>
      <w:sz w:val="26"/>
      <w:szCs w:val="26"/>
    </w:rPr>
  </w:style>
  <w:style w:type="character" w:customStyle="1" w:styleId="Nagwek4Znak">
    <w:name w:val="Nagłówek 4 Znak"/>
    <w:basedOn w:val="Domylnaczcionkaakapitu"/>
    <w:link w:val="Nagwek4"/>
    <w:rsid w:val="00AC6E06"/>
    <w:rPr>
      <w:rFonts w:ascii="Trebuchet MS" w:hAnsi="Trebuchet MS"/>
      <w:b/>
      <w:sz w:val="24"/>
      <w:szCs w:val="24"/>
      <w:lang w:eastAsia="en-US"/>
    </w:rPr>
  </w:style>
  <w:style w:type="character" w:customStyle="1" w:styleId="Nagwek5Znak">
    <w:name w:val="Nagłówek 5 Znak"/>
    <w:basedOn w:val="Domylnaczcionkaakapitu"/>
    <w:link w:val="Nagwek5"/>
    <w:rsid w:val="00AC6E06"/>
    <w:rPr>
      <w:rFonts w:ascii="Trebuchet MS" w:hAnsi="Trebuchet MS"/>
      <w:b/>
      <w:bCs/>
      <w:i/>
      <w:iCs/>
      <w:sz w:val="24"/>
      <w:szCs w:val="26"/>
    </w:rPr>
  </w:style>
  <w:style w:type="character" w:customStyle="1" w:styleId="Nagwek6Znak">
    <w:name w:val="Nagłówek 6 Znak"/>
    <w:basedOn w:val="Domylnaczcionkaakapitu"/>
    <w:link w:val="Nagwek6"/>
    <w:rsid w:val="00AC6E06"/>
    <w:rPr>
      <w:rFonts w:ascii="Trebuchet MS" w:hAnsi="Trebuchet MS"/>
      <w:b/>
      <w:bCs/>
      <w:i/>
      <w:sz w:val="24"/>
      <w:szCs w:val="22"/>
    </w:rPr>
  </w:style>
  <w:style w:type="character" w:customStyle="1" w:styleId="Nagwek7Znak">
    <w:name w:val="Nagłówek 7 Znak"/>
    <w:basedOn w:val="Domylnaczcionkaakapitu"/>
    <w:link w:val="Nagwek7"/>
    <w:rsid w:val="00AC6E06"/>
    <w:rPr>
      <w:rFonts w:ascii="Trebuchet MS" w:hAnsi="Trebuchet MS"/>
      <w:i/>
      <w:sz w:val="24"/>
      <w:szCs w:val="24"/>
    </w:rPr>
  </w:style>
  <w:style w:type="character" w:customStyle="1" w:styleId="Nagwek8Znak">
    <w:name w:val="Nagłówek 8 Znak"/>
    <w:basedOn w:val="Domylnaczcionkaakapitu"/>
    <w:link w:val="Nagwek8"/>
    <w:rsid w:val="00AC6E06"/>
    <w:rPr>
      <w:rFonts w:ascii="Trebuchet MS" w:hAnsi="Trebuchet MS"/>
      <w:i/>
      <w:iCs/>
      <w:sz w:val="24"/>
      <w:szCs w:val="24"/>
    </w:rPr>
  </w:style>
  <w:style w:type="character" w:customStyle="1" w:styleId="Nagwek9Znak">
    <w:name w:val="Nagłówek 9 Znak"/>
    <w:basedOn w:val="Domylnaczcionkaakapitu"/>
    <w:link w:val="Nagwek9"/>
    <w:rsid w:val="00AC6E06"/>
    <w:rPr>
      <w:rFonts w:ascii="Trebuchet MS" w:hAnsi="Trebuchet MS" w:cs="Arial"/>
      <w:i/>
      <w:sz w:val="22"/>
      <w:szCs w:val="22"/>
    </w:rPr>
  </w:style>
  <w:style w:type="paragraph" w:styleId="Akapitzlist">
    <w:name w:val="List Paragraph"/>
    <w:basedOn w:val="Normalny"/>
    <w:uiPriority w:val="99"/>
    <w:qFormat/>
    <w:rsid w:val="00074B68"/>
    <w:pPr>
      <w:numPr>
        <w:numId w:val="2"/>
      </w:numPr>
      <w:ind w:left="714" w:hanging="357"/>
      <w:contextualSpacing/>
    </w:pPr>
    <w:rPr>
      <w:rFonts w:eastAsia="Calibri" w:cs="Arial"/>
      <w:lang w:eastAsia="en-US"/>
    </w:rPr>
  </w:style>
  <w:style w:type="table" w:customStyle="1" w:styleId="AMGScrollLeftCol">
    <w:name w:val="AMG Scroll Left Col"/>
    <w:basedOn w:val="Standardowy"/>
    <w:uiPriority w:val="99"/>
    <w:rsid w:val="001063B3"/>
    <w:rPr>
      <w:rFonts w:asciiTheme="minorHAnsi" w:eastAsiaTheme="minorHAnsi" w:hAnsiTheme="minorHAnsi" w:cstheme="minorBidi"/>
      <w:szCs w:val="22"/>
      <w:lang w:eastAsia="en-US"/>
    </w:rPr>
    <w:tblPr>
      <w:tblStyleRowBandSize w:val="1"/>
      <w:tblInd w:w="0" w:type="dxa"/>
      <w:tblBorders>
        <w:top w:val="single" w:sz="6" w:space="0" w:color="8E96A3"/>
        <w:left w:val="single" w:sz="6" w:space="0" w:color="8E96A3"/>
        <w:bottom w:val="single" w:sz="6" w:space="0" w:color="8E96A3"/>
        <w:right w:val="single" w:sz="6" w:space="0" w:color="8E96A3"/>
        <w:insideH w:val="single" w:sz="6" w:space="0" w:color="8E96A3"/>
        <w:insideV w:val="single" w:sz="6" w:space="0" w:color="8E96A3"/>
      </w:tblBorders>
      <w:tblCellMar>
        <w:top w:w="57" w:type="dxa"/>
        <w:left w:w="108" w:type="dxa"/>
        <w:bottom w:w="57" w:type="dxa"/>
        <w:right w:w="108" w:type="dxa"/>
      </w:tblCellMar>
    </w:tblPr>
    <w:tcPr>
      <w:shd w:val="clear" w:color="auto" w:fill="FFFFFF" w:themeFill="background1"/>
      <w:tcMar>
        <w:top w:w="85" w:type="dxa"/>
        <w:bottom w:w="85" w:type="dxa"/>
      </w:tcMar>
    </w:tcPr>
    <w:tblStylePr w:type="firstRow">
      <w:rPr>
        <w:rFonts w:ascii="Segoe UI" w:hAnsi="Segoe UI"/>
        <w:b/>
        <w:i w:val="0"/>
        <w:color w:val="FFFFFF" w:themeColor="background1"/>
        <w:sz w:val="20"/>
      </w:rPr>
      <w:tblPr/>
      <w:tcPr>
        <w:tcBorders>
          <w:top w:val="single" w:sz="6" w:space="0" w:color="8E96A3"/>
          <w:left w:val="single" w:sz="6" w:space="0" w:color="8E96A3"/>
          <w:bottom w:val="single" w:sz="6" w:space="0" w:color="8E96A3"/>
          <w:right w:val="single" w:sz="6" w:space="0" w:color="8E96A3"/>
          <w:insideH w:val="nil"/>
          <w:insideV w:val="nil"/>
          <w:tl2br w:val="nil"/>
          <w:tr2bl w:val="nil"/>
        </w:tcBorders>
        <w:shd w:val="clear" w:color="auto" w:fill="666666" w:themeFill="text1" w:themeFillTint="99"/>
      </w:tcPr>
    </w:tblStylePr>
    <w:tblStylePr w:type="firstCol">
      <w:rPr>
        <w:rFonts w:ascii="Segoe UI" w:hAnsi="Segoe UI"/>
        <w:b w:val="0"/>
        <w:color w:val="auto"/>
        <w:sz w:val="20"/>
        <w:u w:val="none"/>
      </w:rPr>
      <w:tblPr/>
      <w:tcPr>
        <w:shd w:val="clear" w:color="auto" w:fill="FFFFFF" w:themeFill="background1"/>
      </w:tcPr>
    </w:tblStylePr>
  </w:style>
  <w:style w:type="table" w:styleId="Tabela-Delikatny1">
    <w:name w:val="Table Subtle 1"/>
    <w:basedOn w:val="Standardowy"/>
    <w:rsid w:val="001063B3"/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il"/>
          <w:tr2bl w:val="nil"/>
        </w:tcBorders>
      </w:tcPr>
    </w:tblStylePr>
    <w:tblStylePr w:type="lastRow">
      <w:tblPr/>
      <w:tcPr>
        <w:tcBorders>
          <w:top w:val="single" w:sz="12" w:space="0" w:color="000000"/>
          <w:tl2br w:val="nil"/>
          <w:tr2bl w:val="nil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il"/>
          <w:tr2bl w:val="nil"/>
        </w:tcBorders>
      </w:tcPr>
    </w:tblStylePr>
    <w:tblStylePr w:type="lastCol">
      <w:tblPr/>
      <w:tcPr>
        <w:tcBorders>
          <w:left w:val="single" w:sz="12" w:space="0" w:color="000000"/>
          <w:tl2br w:val="nil"/>
          <w:tr2bl w:val="nil"/>
        </w:tcBorders>
      </w:tcPr>
    </w:tblStylePr>
    <w:tblStylePr w:type="band1Horz">
      <w:tblPr/>
      <w:tcPr>
        <w:tcBorders>
          <w:bottom w:val="single" w:sz="6" w:space="0" w:color="00000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ela-Lista7">
    <w:name w:val="Table List 7"/>
    <w:basedOn w:val="Standardowy"/>
    <w:rsid w:val="001063B3"/>
    <w:tblPr>
      <w:tblStyleRowBandSize w:val="1"/>
      <w:tblInd w:w="0" w:type="dxa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008000"/>
          <w:tl2br w:val="nil"/>
          <w:tr2bl w:val="nil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  <w:tblStylePr w:type="band2Horz">
      <w:tblPr/>
      <w:tcPr>
        <w:tcBorders>
          <w:tl2br w:val="nil"/>
          <w:tr2bl w:val="nil"/>
        </w:tcBorders>
        <w:shd w:val="pct25" w:color="FFFF00" w:fill="FFFFFF"/>
      </w:tcPr>
    </w:tblStylePr>
  </w:style>
  <w:style w:type="table" w:styleId="Tabela-Lista6">
    <w:name w:val="Table List 6"/>
    <w:basedOn w:val="Standardowy"/>
    <w:rsid w:val="001063B3"/>
    <w:tblPr>
      <w:tblStyleRowBandSize w:val="1"/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il"/>
          <w:tr2bl w:val="nil"/>
        </w:tcBorders>
      </w:tcPr>
    </w:tblStylePr>
    <w:tblStylePr w:type="band1Horz">
      <w:tblPr/>
      <w:tcPr>
        <w:tcBorders>
          <w:tl2br w:val="nil"/>
          <w:tr2bl w:val="nil"/>
        </w:tcBorders>
        <w:shd w:val="pct25" w:color="000000" w:fill="FFFFFF"/>
      </w:tcPr>
    </w:tblStylePr>
  </w:style>
  <w:style w:type="table" w:styleId="Tabela-Lista4">
    <w:name w:val="Table List 4"/>
    <w:basedOn w:val="Standardowy"/>
    <w:rsid w:val="001063B3"/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il"/>
          <w:tr2bl w:val="nil"/>
        </w:tcBorders>
        <w:shd w:val="solid" w:color="808080" w:fill="FFFFFF"/>
      </w:tcPr>
    </w:tblStylePr>
  </w:style>
  <w:style w:type="table" w:styleId="Tabela-Lista3">
    <w:name w:val="Table List 3"/>
    <w:basedOn w:val="Standardowy"/>
    <w:rsid w:val="001063B3"/>
    <w:tblPr>
      <w:tblInd w:w="0" w:type="dxa"/>
      <w:tblBorders>
        <w:top w:val="single" w:sz="12" w:space="0" w:color="000000"/>
        <w:bottom w:val="single" w:sz="12" w:space="0" w:color="000000"/>
        <w:insideH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lastRow">
      <w:tblPr/>
      <w:tcPr>
        <w:tcBorders>
          <w:top w:val="single" w:sz="12" w:space="0" w:color="000000"/>
          <w:tl2br w:val="nil"/>
          <w:tr2bl w:val="nil"/>
        </w:tcBorders>
      </w:tcPr>
    </w:tblStylePr>
    <w:tblStylePr w:type="swCell">
      <w:rPr>
        <w:i/>
        <w:iCs/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Tabela-Lista1">
    <w:name w:val="Table List 1"/>
    <w:basedOn w:val="Standardowy"/>
    <w:rsid w:val="001063B3"/>
    <w:tblPr>
      <w:tblStyleRowBandSize w:val="1"/>
      <w:tblInd w:w="0" w:type="dxa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il"/>
          <w:tr2bl w:val="nil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ela-Kolumnowy5">
    <w:name w:val="Table Columns 5"/>
    <w:basedOn w:val="Standardowy"/>
    <w:rsid w:val="001063B3"/>
    <w:tblPr>
      <w:tblStyleColBandSize w:val="1"/>
      <w:tblInd w:w="0" w:type="dxa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ela-Kolumnowy4">
    <w:name w:val="Table Columns 4"/>
    <w:basedOn w:val="Standardowy"/>
    <w:rsid w:val="001063B3"/>
    <w:tblPr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ela-Kolumnowy3">
    <w:name w:val="Table Columns 3"/>
    <w:basedOn w:val="Standardowy"/>
    <w:rsid w:val="001063B3"/>
    <w:rPr>
      <w:b/>
      <w:bCs/>
    </w:rPr>
    <w:tblPr>
      <w:tblStyleColBandSize w:val="1"/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ela-Kolumnowy1">
    <w:name w:val="Table Columns 1"/>
    <w:basedOn w:val="Standardowy"/>
    <w:rsid w:val="001063B3"/>
    <w:rPr>
      <w:b/>
      <w:bCs/>
    </w:rPr>
    <w:tblPr>
      <w:tblStyleColBandSize w:val="1"/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ela-Kolorowy2">
    <w:name w:val="Table Colorful 2"/>
    <w:basedOn w:val="Standardowy"/>
    <w:rsid w:val="001063B3"/>
    <w:tblPr>
      <w:tblInd w:w="0" w:type="dxa"/>
      <w:tblBorders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il"/>
          <w:tr2bl w:val="nil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il"/>
          <w:tr2bl w:val="nil"/>
        </w:tcBorders>
      </w:tcPr>
    </w:tblStylePr>
    <w:tblStylePr w:type="lastCol">
      <w:tblPr/>
      <w:tcPr>
        <w:tcBorders>
          <w:tl2br w:val="nil"/>
          <w:tr2bl w:val="nil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</w:style>
  <w:style w:type="table" w:styleId="Tabela-Siatka8">
    <w:name w:val="Table Grid 8"/>
    <w:basedOn w:val="Standardowy"/>
    <w:rsid w:val="001063B3"/>
    <w:tblPr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Tabela-Siatka7">
    <w:name w:val="Table Grid 7"/>
    <w:basedOn w:val="Standardowy"/>
    <w:rsid w:val="001063B3"/>
    <w:rPr>
      <w:b/>
      <w:bCs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sz="6" w:space="0" w:color="000000"/>
          <w:tr2bl w:val="nil"/>
        </w:tcBorders>
      </w:tcPr>
    </w:tblStylePr>
  </w:style>
  <w:style w:type="table" w:styleId="Tabela-Siatka6">
    <w:name w:val="Table Grid 6"/>
    <w:basedOn w:val="Standardowy"/>
    <w:rsid w:val="001063B3"/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sz="6" w:space="0" w:color="000000"/>
          <w:tr2bl w:val="nil"/>
        </w:tcBorders>
      </w:tcPr>
    </w:tblStylePr>
  </w:style>
  <w:style w:type="table" w:styleId="Tabela-Siatka4">
    <w:name w:val="Table Grid 4"/>
    <w:basedOn w:val="Standardowy"/>
    <w:rsid w:val="001063B3"/>
    <w:tblPr>
      <w:tblInd w:w="0" w:type="dxa"/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il"/>
          <w:tr2bl w:val="nil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Tabela-Siatka2">
    <w:name w:val="Table Grid 2"/>
    <w:basedOn w:val="Standardowy"/>
    <w:rsid w:val="001063B3"/>
    <w:tblPr>
      <w:tblInd w:w="0" w:type="dxa"/>
      <w:tblBorders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ela-Prosty3">
    <w:name w:val="Table Simple 3"/>
    <w:basedOn w:val="Standardowy"/>
    <w:rsid w:val="001063B3"/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Tabela-Prosty2">
    <w:name w:val="Table Simple 2"/>
    <w:basedOn w:val="Standardowy"/>
    <w:rsid w:val="001063B3"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il"/>
          <w:tr2bl w:val="nil"/>
        </w:tcBorders>
      </w:tcPr>
    </w:tblStylePr>
    <w:tblStylePr w:type="neCell">
      <w:rPr>
        <w:b/>
        <w:bCs/>
      </w:rPr>
      <w:tblPr/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tl2br w:val="nil"/>
          <w:tr2bl w:val="nil"/>
        </w:tcBorders>
      </w:tcPr>
    </w:tblStylePr>
  </w:style>
  <w:style w:type="table" w:styleId="Tabela-Profesjonalny">
    <w:name w:val="Table Professional"/>
    <w:basedOn w:val="Standardowy"/>
    <w:rsid w:val="001063B3"/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Tabela-Motyw">
    <w:name w:val="Table Theme"/>
    <w:basedOn w:val="Standardowy"/>
    <w:rsid w:val="001063B3"/>
    <w:rPr>
      <w:rFonts w:ascii="Trebuchet MS" w:hAnsi="Trebuchet MS"/>
      <w:i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Col">
      <w:rPr>
        <w:rFonts w:ascii="Trebuchet MS" w:hAnsi="Trebuchet MS"/>
        <w:b/>
        <w:i w:val="0"/>
        <w:color w:val="FFFFFF" w:themeColor="background1"/>
        <w:sz w:val="20"/>
      </w:rPr>
      <w:tblPr/>
      <w:tcPr>
        <w:shd w:val="clear" w:color="auto" w:fill="808080"/>
      </w:tcPr>
    </w:tblStylePr>
  </w:style>
  <w:style w:type="table" w:customStyle="1" w:styleId="ScrollWarning">
    <w:name w:val="Scroll Warning"/>
    <w:basedOn w:val="TableNormal0"/>
    <w:uiPriority w:val="99"/>
    <w:qFormat/>
    <w:rsid w:val="0099620C"/>
    <w:pPr>
      <w:ind w:left="173" w:right="259"/>
    </w:pPr>
    <w:tblPr>
      <w:tblInd w:w="0" w:type="dxa"/>
      <w:tblBorders>
        <w:top w:val="single" w:sz="4" w:space="0" w:color="E29898"/>
        <w:left w:val="single" w:sz="4" w:space="0" w:color="E29898"/>
        <w:bottom w:val="single" w:sz="4" w:space="0" w:color="E29898"/>
        <w:right w:val="single" w:sz="4" w:space="0" w:color="E29898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FE7E7"/>
    </w:tcPr>
  </w:style>
  <w:style w:type="table" w:customStyle="1" w:styleId="TableNormal0">
    <w:name w:val="Table Normal_0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crollNote">
    <w:name w:val="Scroll Note"/>
    <w:basedOn w:val="TableNormal0"/>
    <w:uiPriority w:val="99"/>
    <w:qFormat/>
    <w:rsid w:val="00F93E63"/>
    <w:pPr>
      <w:ind w:left="173" w:right="259"/>
    </w:pPr>
    <w:tblPr>
      <w:tblInd w:w="0" w:type="dxa"/>
      <w:tblBorders>
        <w:top w:val="single" w:sz="4" w:space="0" w:color="F9DF99"/>
        <w:left w:val="single" w:sz="4" w:space="0" w:color="F9DF99"/>
        <w:bottom w:val="single" w:sz="4" w:space="0" w:color="F9DF99"/>
        <w:right w:val="single" w:sz="4" w:space="0" w:color="F9DF99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FFFE0"/>
    </w:tcPr>
  </w:style>
  <w:style w:type="table" w:customStyle="1" w:styleId="ScrollTableNormal">
    <w:name w:val="Scroll Table Normal"/>
    <w:basedOn w:val="Tabela-Siatka"/>
    <w:uiPriority w:val="99"/>
    <w:qFormat/>
    <w:rsid w:val="00925CAB"/>
    <w:pPr>
      <w:spacing w:before="60" w:after="60"/>
    </w:pPr>
    <w:rPr>
      <w:rFonts w:ascii="Arial" w:hAnsi="Arial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cantSplit/>
    </w:trPr>
    <w:tblStylePr w:type="firstRow">
      <w:rPr>
        <w:rFonts w:ascii="Trebuchet MS" w:hAnsi="Trebuchet MS"/>
        <w:b/>
        <w:i w:val="0"/>
        <w:color w:val="FFFFFF" w:themeColor="background1"/>
        <w:sz w:val="20"/>
      </w:rPr>
      <w:tblPr/>
      <w:tcPr>
        <w:shd w:val="clear" w:color="auto" w:fill="808080"/>
      </w:tcPr>
    </w:tblStylePr>
    <w:tblStylePr w:type="firstCol">
      <w:rPr>
        <w:rFonts w:ascii="Trebuchet MS" w:hAnsi="Trebuchet MS"/>
        <w:b/>
        <w:i w:val="0"/>
        <w:color w:val="FFFFFF" w:themeColor="background1"/>
        <w:sz w:val="20"/>
      </w:rPr>
      <w:tblPr/>
      <w:tcPr>
        <w:shd w:val="clear" w:color="auto" w:fill="808080"/>
      </w:tcPr>
    </w:tblStylePr>
  </w:style>
  <w:style w:type="table" w:customStyle="1" w:styleId="ScrollPanel">
    <w:name w:val="Scroll Panel"/>
    <w:basedOn w:val="TableNormal0"/>
    <w:uiPriority w:val="99"/>
    <w:qFormat/>
    <w:rsid w:val="00F93E63"/>
    <w:pPr>
      <w:ind w:left="173" w:right="259"/>
    </w:pPr>
    <w:tblPr>
      <w:tblInd w:w="0" w:type="dxa"/>
      <w:tblBorders>
        <w:top w:val="single" w:sz="4" w:space="0" w:color="BBBBBB"/>
        <w:left w:val="single" w:sz="4" w:space="0" w:color="BBBBBB"/>
        <w:bottom w:val="single" w:sz="4" w:space="0" w:color="BBBBBB"/>
        <w:right w:val="single" w:sz="4" w:space="0" w:color="BBBBBB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0F0F0"/>
    </w:tcPr>
  </w:style>
  <w:style w:type="table" w:customStyle="1" w:styleId="ScrollInfo">
    <w:name w:val="Scroll Info"/>
    <w:basedOn w:val="TableNormal0"/>
    <w:uiPriority w:val="99"/>
    <w:qFormat/>
    <w:rsid w:val="00F93E63"/>
    <w:pPr>
      <w:ind w:left="173" w:right="259"/>
    </w:pPr>
    <w:tblPr>
      <w:tblInd w:w="0" w:type="dxa"/>
      <w:tblBorders>
        <w:top w:val="single" w:sz="4" w:space="0" w:color="9CA6D2"/>
        <w:left w:val="single" w:sz="4" w:space="0" w:color="9CA6D2"/>
        <w:bottom w:val="single" w:sz="4" w:space="0" w:color="9CA6D2"/>
        <w:right w:val="single" w:sz="4" w:space="0" w:color="9CA6D2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DFEFFD"/>
    </w:tcPr>
  </w:style>
  <w:style w:type="table" w:customStyle="1" w:styleId="TableGrid0">
    <w:name w:val="Table Grid_0"/>
    <w:basedOn w:val="TableNormal0"/>
    <w:uiPriority w:val="59"/>
    <w:rsid w:val="00E868FB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crollTip">
    <w:name w:val="Scroll Tip"/>
    <w:basedOn w:val="TableNormal0"/>
    <w:uiPriority w:val="99"/>
    <w:qFormat/>
    <w:rsid w:val="0099620C"/>
    <w:pPr>
      <w:ind w:left="173" w:right="259"/>
    </w:pPr>
    <w:tblPr>
      <w:tblInd w:w="0" w:type="dxa"/>
      <w:tblBorders>
        <w:top w:val="single" w:sz="4" w:space="0" w:color="9CC4A2"/>
        <w:left w:val="single" w:sz="4" w:space="0" w:color="9CC4A2"/>
        <w:bottom w:val="single" w:sz="4" w:space="0" w:color="9CC4A2"/>
        <w:right w:val="single" w:sz="4" w:space="0" w:color="9CC4A2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DEFAE0"/>
    </w:tcPr>
  </w:style>
  <w:style w:type="table" w:customStyle="1" w:styleId="ScrollSectionColumn">
    <w:name w:val="Scroll Section Column"/>
    <w:basedOn w:val="TableNormal0"/>
    <w:uiPriority w:val="99"/>
    <w:rsid w:val="00E868FB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crollCode">
    <w:name w:val="Scroll Code"/>
    <w:basedOn w:val="TableNormal0"/>
    <w:uiPriority w:val="99"/>
    <w:qFormat/>
    <w:rsid w:val="00AD7224"/>
    <w:pPr>
      <w:ind w:left="173" w:right="259"/>
    </w:pPr>
    <w:rPr>
      <w:rFonts w:ascii="Courier New" w:hAnsi="Courier New"/>
      <w:sz w:val="18"/>
    </w:rPr>
    <w:tblPr>
      <w:tblCellSpacing w:w="0" w:type="dxa"/>
      <w:tblInd w:w="0" w:type="dxa"/>
      <w:tblBorders>
        <w:top w:val="dashed" w:sz="4" w:space="0" w:color="6199C9"/>
        <w:left w:val="dashed" w:sz="4" w:space="0" w:color="6199C9"/>
        <w:bottom w:val="dashed" w:sz="4" w:space="0" w:color="6199C9"/>
        <w:right w:val="dashed" w:sz="4" w:space="0" w:color="6199C9"/>
      </w:tblBorders>
      <w:tblCellMar>
        <w:top w:w="173" w:type="dxa"/>
        <w:left w:w="58" w:type="dxa"/>
        <w:bottom w:w="259" w:type="dxa"/>
        <w:right w:w="58" w:type="dxa"/>
      </w:tblCellMar>
    </w:tblPr>
    <w:trPr>
      <w:tblCellSpacing w:w="0" w:type="dxa"/>
    </w:trPr>
  </w:style>
  <w:style w:type="table" w:customStyle="1" w:styleId="ScrollQuote">
    <w:name w:val="Scroll Quote"/>
    <w:basedOn w:val="TableNormal0"/>
    <w:uiPriority w:val="99"/>
    <w:qFormat/>
    <w:rsid w:val="00F93E63"/>
    <w:pPr>
      <w:ind w:left="173" w:right="259"/>
    </w:pPr>
    <w:rPr>
      <w:i/>
    </w:rPr>
    <w:tblPr>
      <w:tblInd w:w="0" w:type="dxa"/>
      <w:tblCellMar>
        <w:top w:w="0" w:type="dxa"/>
        <w:left w:w="58" w:type="dxa"/>
        <w:bottom w:w="0" w:type="dxa"/>
        <w:right w:w="58" w:type="dxa"/>
      </w:tblCellMar>
    </w:tblPr>
    <w:tblStylePr w:type="firstCol">
      <w:tblPr/>
      <w:tcPr>
        <w:tcBorders>
          <w:left w:val="single" w:sz="4" w:space="0" w:color="6199C9"/>
        </w:tcBorders>
      </w:tcPr>
    </w:tblStylePr>
  </w:style>
  <w:style w:type="character" w:customStyle="1" w:styleId="Podtytutabeli">
    <w:name w:val="Podtytuł tabeli"/>
    <w:rsid w:val="00D86CA3"/>
    <w:rPr>
      <w:rFonts w:ascii="Trebuchet MS" w:hAnsi="Trebuchet MS"/>
      <w:b/>
      <w:bCs/>
      <w:color w:val="FFFFFF"/>
      <w:sz w:val="20"/>
    </w:rPr>
  </w:style>
  <w:style w:type="character" w:customStyle="1" w:styleId="Tekstdlapodtytuu">
    <w:name w:val="Tekst dla podtytułu"/>
    <w:rsid w:val="00D86CA3"/>
    <w:rPr>
      <w:rFonts w:ascii="Trebuchet MS" w:hAnsi="Trebuchet MS"/>
      <w:i/>
      <w:iCs/>
      <w:sz w:val="20"/>
    </w:rPr>
  </w:style>
  <w:style w:type="paragraph" w:customStyle="1" w:styleId="Nagwektabelizmian">
    <w:name w:val="Nagłówek tabeli zmian"/>
    <w:basedOn w:val="Normalny"/>
    <w:rsid w:val="00D86CA3"/>
    <w:pPr>
      <w:jc w:val="center"/>
    </w:pPr>
    <w:rPr>
      <w:rFonts w:ascii="Trebuchet MS" w:hAnsi="Trebuchet MS"/>
      <w:sz w:val="20"/>
      <w:szCs w:val="20"/>
    </w:rPr>
  </w:style>
  <w:style w:type="character" w:customStyle="1" w:styleId="Tekstdlanagwkatabeli">
    <w:name w:val="Tekst dla nagłówka tabeli"/>
    <w:rsid w:val="00D86CA3"/>
    <w:rPr>
      <w:rFonts w:ascii="Trebuchet MS" w:hAnsi="Trebuchet MS"/>
      <w:sz w:val="20"/>
    </w:rPr>
  </w:style>
  <w:style w:type="character" w:customStyle="1" w:styleId="NormalnyMS">
    <w:name w:val="Normalny MS"/>
    <w:uiPriority w:val="99"/>
    <w:rsid w:val="00D86CA3"/>
    <w:rPr>
      <w:rFonts w:ascii="Trebuchet MS" w:hAnsi="Trebuchet MS"/>
      <w:sz w:val="22"/>
    </w:rPr>
  </w:style>
  <w:style w:type="paragraph" w:customStyle="1" w:styleId="nrstrony">
    <w:name w:val="nr strony"/>
    <w:basedOn w:val="Stopka"/>
    <w:link w:val="nrstronyZnak"/>
    <w:qFormat/>
    <w:rsid w:val="00307E31"/>
    <w:pPr>
      <w:spacing w:before="120" w:after="120"/>
      <w:jc w:val="center"/>
    </w:pPr>
    <w:rPr>
      <w:sz w:val="14"/>
      <w:szCs w:val="14"/>
    </w:rPr>
  </w:style>
  <w:style w:type="paragraph" w:customStyle="1" w:styleId="stopka-EFS">
    <w:name w:val="stopka-EFS"/>
    <w:basedOn w:val="Normalny"/>
    <w:link w:val="stopka-EFSZnak"/>
    <w:qFormat/>
    <w:rsid w:val="00307E31"/>
    <w:pPr>
      <w:tabs>
        <w:tab w:val="center" w:pos="4536"/>
        <w:tab w:val="right" w:pos="9072"/>
      </w:tabs>
      <w:ind w:right="360"/>
      <w:jc w:val="center"/>
      <w:outlineLvl w:val="0"/>
    </w:pPr>
    <w:rPr>
      <w:rFonts w:ascii="Garamond" w:hAnsi="Garamond"/>
      <w:sz w:val="20"/>
    </w:rPr>
  </w:style>
  <w:style w:type="character" w:customStyle="1" w:styleId="nrstronyZnak">
    <w:name w:val="nr strony Znak"/>
    <w:basedOn w:val="StopkaZnak"/>
    <w:link w:val="nrstrony"/>
    <w:rsid w:val="00307E31"/>
    <w:rPr>
      <w:rFonts w:ascii="Arial" w:hAnsi="Arial"/>
      <w:sz w:val="14"/>
      <w:szCs w:val="14"/>
    </w:rPr>
  </w:style>
  <w:style w:type="paragraph" w:customStyle="1" w:styleId="Listanum">
    <w:name w:val="Lista num"/>
    <w:basedOn w:val="Normalny"/>
    <w:link w:val="ListanumZnak"/>
    <w:qFormat/>
    <w:rsid w:val="00074B68"/>
    <w:pPr>
      <w:numPr>
        <w:numId w:val="3"/>
      </w:numPr>
      <w:ind w:left="357" w:hanging="357"/>
      <w:contextualSpacing/>
    </w:pPr>
  </w:style>
  <w:style w:type="character" w:customStyle="1" w:styleId="stopka-EFSZnak">
    <w:name w:val="stopka-EFS Znak"/>
    <w:basedOn w:val="Domylnaczcionkaakapitu"/>
    <w:link w:val="stopka-EFS"/>
    <w:rsid w:val="00307E31"/>
    <w:rPr>
      <w:rFonts w:ascii="Garamond" w:hAnsi="Garamond"/>
      <w:szCs w:val="24"/>
    </w:rPr>
  </w:style>
  <w:style w:type="character" w:customStyle="1" w:styleId="ListanumZnak">
    <w:name w:val="Lista num Znak"/>
    <w:basedOn w:val="Domylnaczcionkaakapitu"/>
    <w:link w:val="Listanum"/>
    <w:rsid w:val="00074B68"/>
    <w:rPr>
      <w:rFonts w:ascii="Arial" w:hAnsi="Arial"/>
      <w:sz w:val="24"/>
      <w:szCs w:val="24"/>
    </w:rPr>
  </w:style>
  <w:style w:type="table" w:customStyle="1" w:styleId="Styl1">
    <w:name w:val="Styl1"/>
    <w:basedOn w:val="Standardowy"/>
    <w:uiPriority w:val="99"/>
    <w:rsid w:val="00925CAB"/>
    <w:rPr>
      <w:rFonts w:ascii="Arial" w:hAnsi="Arial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Spistreci4">
    <w:name w:val="toc 4"/>
    <w:basedOn w:val="Normalny"/>
    <w:next w:val="Normalny"/>
    <w:autoRedefine/>
    <w:uiPriority w:val="39"/>
    <w:rsid w:val="00513D6C"/>
    <w:pPr>
      <w:ind w:left="720"/>
    </w:pPr>
    <w:rPr>
      <w:rFonts w:asciiTheme="minorHAnsi" w:hAnsiTheme="minorHAnsi"/>
      <w:sz w:val="18"/>
      <w:szCs w:val="18"/>
    </w:rPr>
  </w:style>
  <w:style w:type="paragraph" w:styleId="Spistreci5">
    <w:name w:val="toc 5"/>
    <w:basedOn w:val="Normalny"/>
    <w:next w:val="Normalny"/>
    <w:autoRedefine/>
    <w:uiPriority w:val="39"/>
    <w:rsid w:val="00513D6C"/>
    <w:pPr>
      <w:ind w:left="960"/>
    </w:pPr>
    <w:rPr>
      <w:rFonts w:asciiTheme="minorHAnsi" w:hAnsiTheme="minorHAnsi"/>
      <w:sz w:val="18"/>
      <w:szCs w:val="18"/>
    </w:rPr>
  </w:style>
  <w:style w:type="paragraph" w:styleId="Spistreci6">
    <w:name w:val="toc 6"/>
    <w:basedOn w:val="Normalny"/>
    <w:next w:val="Normalny"/>
    <w:autoRedefine/>
    <w:uiPriority w:val="39"/>
    <w:rsid w:val="00513D6C"/>
    <w:pPr>
      <w:ind w:left="1200"/>
    </w:pPr>
    <w:rPr>
      <w:rFonts w:asciiTheme="minorHAnsi" w:hAnsiTheme="minorHAnsi"/>
      <w:sz w:val="18"/>
      <w:szCs w:val="18"/>
    </w:rPr>
  </w:style>
  <w:style w:type="paragraph" w:styleId="Spistreci7">
    <w:name w:val="toc 7"/>
    <w:basedOn w:val="Normalny"/>
    <w:next w:val="Normalny"/>
    <w:autoRedefine/>
    <w:uiPriority w:val="39"/>
    <w:rsid w:val="00513D6C"/>
    <w:pPr>
      <w:ind w:left="1440"/>
    </w:pPr>
    <w:rPr>
      <w:rFonts w:asciiTheme="minorHAnsi" w:hAnsiTheme="minorHAnsi"/>
      <w:sz w:val="18"/>
      <w:szCs w:val="18"/>
    </w:rPr>
  </w:style>
  <w:style w:type="paragraph" w:styleId="Spistreci8">
    <w:name w:val="toc 8"/>
    <w:basedOn w:val="Normalny"/>
    <w:next w:val="Normalny"/>
    <w:autoRedefine/>
    <w:uiPriority w:val="39"/>
    <w:rsid w:val="00513D6C"/>
    <w:pPr>
      <w:ind w:left="1680"/>
    </w:pPr>
    <w:rPr>
      <w:rFonts w:asciiTheme="minorHAnsi" w:hAnsiTheme="minorHAnsi"/>
      <w:sz w:val="18"/>
      <w:szCs w:val="18"/>
    </w:rPr>
  </w:style>
  <w:style w:type="paragraph" w:styleId="Spistreci9">
    <w:name w:val="toc 9"/>
    <w:basedOn w:val="Normalny"/>
    <w:next w:val="Normalny"/>
    <w:autoRedefine/>
    <w:rsid w:val="00513D6C"/>
    <w:pPr>
      <w:ind w:left="1920"/>
    </w:pPr>
    <w:rPr>
      <w:rFonts w:asciiTheme="minorHAnsi" w:hAnsiTheme="minorHAnsi"/>
      <w:sz w:val="18"/>
      <w:szCs w:val="18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E90354"/>
    <w:pPr>
      <w:keepLines/>
      <w:numPr>
        <w:numId w:val="0"/>
      </w:numPr>
      <w:spacing w:before="480" w:after="0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table" w:customStyle="1" w:styleId="TableNormal1">
    <w:name w:val="Table Normal_1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">
    <w:name w:val="Table Grid_1"/>
    <w:basedOn w:val="TableNormal1"/>
    <w:uiPriority w:val="59"/>
    <w:rsid w:val="00E868FB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17.png"/><Relationship Id="rId1" Type="http://schemas.openxmlformats.org/officeDocument/2006/relationships/image" Target="media/image1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Drygas\Pulpit\szablony\DWM_POKL_kolor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34C56BA-3EA7-4AB4-8E99-F400D1DC60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DWM_POKL_kolor.dot</Template>
  <TotalTime>112</TotalTime>
  <Pages>26</Pages>
  <Words>3670</Words>
  <Characters>22024</Characters>
  <Application>Microsoft Office Word</Application>
  <DocSecurity>0</DocSecurity>
  <Lines>183</Lines>
  <Paragraphs>51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Departament Współpracy Międzynarodowej</vt:lpstr>
    </vt:vector>
  </TitlesOfParts>
  <Company>Microsoft</Company>
  <LinksUpToDate>false</LinksUpToDate>
  <CharactersWithSpaces>25643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Departament Współpracy Międzynarodowej</dc:title>
  <dc:creator>Drygas</dc:creator>
  <cp:lastModifiedBy>M.Baran</cp:lastModifiedBy>
  <cp:revision>22</cp:revision>
  <cp:lastPrinted>2015-12-16T10:50:00Z</cp:lastPrinted>
  <dcterms:created xsi:type="dcterms:W3CDTF">2014-10-30T11:38:00Z</dcterms:created>
  <dcterms:modified xsi:type="dcterms:W3CDTF">2015-12-16T10:52:00Z</dcterms:modified>
</cp:coreProperties>
</file>